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80C52">
      <w:pPr>
        <w:spacing w:line="348" w:lineRule="auto"/>
        <w:rPr>
          <w:rFonts w:ascii="黑体" w:hAnsi="黑体" w:eastAsia="黑体" w:cs="黑体"/>
          <w:bCs/>
          <w:sz w:val="32"/>
          <w:szCs w:val="32"/>
        </w:rPr>
      </w:pPr>
    </w:p>
    <w:p w14:paraId="288AD646">
      <w:pPr>
        <w:spacing w:line="348" w:lineRule="auto"/>
        <w:jc w:val="center"/>
        <w:rPr>
          <w:rFonts w:eastAsia="方正小标宋简体"/>
          <w:bCs/>
          <w:sz w:val="42"/>
          <w:szCs w:val="42"/>
        </w:rPr>
      </w:pPr>
    </w:p>
    <w:p w14:paraId="7BA0D3EE">
      <w:pPr>
        <w:spacing w:line="800" w:lineRule="exact"/>
        <w:jc w:val="center"/>
        <w:rPr>
          <w:rFonts w:hint="eastAsia"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lang w:val="en-US" w:eastAsia="zh-CN"/>
        </w:rPr>
        <w:t>23</w:t>
      </w:r>
      <w:r>
        <w:rPr>
          <w:rFonts w:hint="eastAsia" w:eastAsia="方正小标宋简体"/>
          <w:bCs/>
          <w:sz w:val="46"/>
          <w:szCs w:val="46"/>
        </w:rPr>
        <w:t>年度部门整体支出绩效评价</w:t>
      </w:r>
    </w:p>
    <w:p w14:paraId="1753C068">
      <w:pPr>
        <w:spacing w:line="800" w:lineRule="exact"/>
        <w:jc w:val="center"/>
        <w:rPr>
          <w:rFonts w:eastAsia="方正小标宋简体"/>
          <w:bCs/>
          <w:sz w:val="46"/>
          <w:szCs w:val="46"/>
        </w:rPr>
      </w:pPr>
      <w:r>
        <w:rPr>
          <w:rFonts w:hint="eastAsia" w:eastAsia="方正小标宋简体"/>
          <w:bCs/>
          <w:sz w:val="46"/>
          <w:szCs w:val="46"/>
        </w:rPr>
        <w:t>自评报告</w:t>
      </w:r>
    </w:p>
    <w:p w14:paraId="1BB032CE">
      <w:pPr>
        <w:rPr>
          <w:rFonts w:eastAsia="仿宋_GB2312"/>
          <w:b/>
          <w:sz w:val="32"/>
        </w:rPr>
      </w:pPr>
    </w:p>
    <w:p w14:paraId="5437FF66">
      <w:pPr>
        <w:rPr>
          <w:rFonts w:eastAsia="仿宋_GB2312"/>
          <w:b/>
          <w:sz w:val="32"/>
        </w:rPr>
      </w:pPr>
    </w:p>
    <w:p w14:paraId="6786F04A">
      <w:pPr>
        <w:rPr>
          <w:rFonts w:eastAsia="仿宋_GB2312"/>
          <w:b/>
          <w:sz w:val="32"/>
        </w:rPr>
      </w:pPr>
    </w:p>
    <w:p w14:paraId="3EA019AA">
      <w:pPr>
        <w:spacing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lang w:eastAsia="zh-CN"/>
        </w:rPr>
        <w:t>岳阳县市容环境卫生服务中心</w:t>
      </w:r>
      <w:r>
        <w:rPr>
          <w:rFonts w:eastAsia="仿宋_GB2312"/>
          <w:sz w:val="32"/>
          <w:szCs w:val="32"/>
          <w:u w:val="single"/>
        </w:rPr>
        <w:t xml:space="preserve">                         </w:t>
      </w:r>
    </w:p>
    <w:p w14:paraId="10FFC5C7">
      <w:pPr>
        <w:spacing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lang w:val="en-US" w:eastAsia="zh-CN"/>
        </w:rPr>
        <w:t>416004</w:t>
      </w:r>
      <w:r>
        <w:rPr>
          <w:rFonts w:eastAsia="仿宋_GB2312"/>
          <w:spacing w:val="20"/>
          <w:sz w:val="32"/>
          <w:szCs w:val="32"/>
          <w:u w:val="single"/>
        </w:rPr>
        <w:t xml:space="preserve">                     </w:t>
      </w:r>
    </w:p>
    <w:p w14:paraId="06EB316D">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14:paraId="3A785204">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14:paraId="1CE5C18F">
      <w:pPr>
        <w:spacing w:line="720" w:lineRule="exact"/>
        <w:ind w:firstLine="2188" w:firstLineChars="690"/>
        <w:rPr>
          <w:rFonts w:eastAsia="仿宋_GB2312"/>
          <w:sz w:val="32"/>
        </w:rPr>
      </w:pPr>
    </w:p>
    <w:p w14:paraId="5C01144F">
      <w:pPr>
        <w:spacing w:line="720" w:lineRule="exact"/>
        <w:ind w:firstLine="2188" w:firstLineChars="690"/>
        <w:rPr>
          <w:rFonts w:eastAsia="仿宋_GB2312"/>
          <w:sz w:val="32"/>
        </w:rPr>
      </w:pPr>
    </w:p>
    <w:p w14:paraId="10CFFFBB">
      <w:pPr>
        <w:spacing w:line="720" w:lineRule="exact"/>
        <w:ind w:firstLine="2188" w:firstLineChars="690"/>
        <w:rPr>
          <w:rFonts w:eastAsia="仿宋_GB2312"/>
          <w:sz w:val="32"/>
        </w:rPr>
      </w:pPr>
    </w:p>
    <w:p w14:paraId="1F37E6EE">
      <w:pPr>
        <w:spacing w:line="348" w:lineRule="auto"/>
        <w:jc w:val="center"/>
        <w:rPr>
          <w:rFonts w:eastAsia="仿宋_GB2312"/>
          <w:sz w:val="32"/>
        </w:rPr>
      </w:pPr>
      <w:r>
        <w:rPr>
          <w:rFonts w:hint="eastAsia" w:eastAsia="仿宋_GB2312"/>
          <w:sz w:val="32"/>
        </w:rPr>
        <w:t>报告日期：</w:t>
      </w:r>
      <w:r>
        <w:rPr>
          <w:rFonts w:eastAsia="仿宋_GB2312"/>
          <w:sz w:val="32"/>
        </w:rPr>
        <w:t xml:space="preserve"> </w:t>
      </w:r>
      <w:r>
        <w:rPr>
          <w:rFonts w:hint="eastAsia" w:eastAsia="仿宋_GB2312"/>
          <w:sz w:val="32"/>
          <w:lang w:val="en-US" w:eastAsia="zh-CN"/>
        </w:rPr>
        <w:t>2024</w:t>
      </w:r>
      <w:r>
        <w:rPr>
          <w:rFonts w:hint="eastAsia" w:eastAsia="仿宋_GB2312"/>
          <w:sz w:val="32"/>
        </w:rPr>
        <w:t>年</w:t>
      </w:r>
      <w:r>
        <w:rPr>
          <w:rFonts w:eastAsia="仿宋_GB2312"/>
          <w:sz w:val="32"/>
        </w:rPr>
        <w:t xml:space="preserve"> </w:t>
      </w:r>
      <w:r>
        <w:rPr>
          <w:rFonts w:hint="eastAsia" w:eastAsia="仿宋_GB2312"/>
          <w:sz w:val="32"/>
          <w:lang w:val="en-US" w:eastAsia="zh-CN"/>
        </w:rPr>
        <w:t xml:space="preserve"> 4</w:t>
      </w:r>
      <w:r>
        <w:rPr>
          <w:rFonts w:hint="eastAsia" w:eastAsia="仿宋_GB2312"/>
          <w:sz w:val="32"/>
        </w:rPr>
        <w:t>月</w:t>
      </w:r>
      <w:r>
        <w:rPr>
          <w:rFonts w:eastAsia="仿宋_GB2312"/>
          <w:sz w:val="32"/>
        </w:rPr>
        <w:t xml:space="preserve"> </w:t>
      </w:r>
      <w:r>
        <w:rPr>
          <w:rFonts w:hint="eastAsia" w:eastAsia="仿宋_GB2312"/>
          <w:sz w:val="32"/>
          <w:lang w:val="en-US" w:eastAsia="zh-CN"/>
        </w:rPr>
        <w:t>25</w:t>
      </w:r>
      <w:r>
        <w:rPr>
          <w:rFonts w:eastAsia="仿宋_GB2312"/>
          <w:sz w:val="32"/>
        </w:rPr>
        <w:t xml:space="preserve"> </w:t>
      </w:r>
      <w:r>
        <w:rPr>
          <w:rFonts w:hint="eastAsia" w:eastAsia="仿宋_GB2312"/>
          <w:sz w:val="32"/>
        </w:rPr>
        <w:t>日</w:t>
      </w:r>
    </w:p>
    <w:p w14:paraId="1218A036">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14:paraId="06A9B74E">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3"/>
        <w:tblW w:w="99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13"/>
        <w:gridCol w:w="46"/>
        <w:gridCol w:w="1080"/>
        <w:gridCol w:w="210"/>
        <w:gridCol w:w="1145"/>
        <w:gridCol w:w="272"/>
        <w:gridCol w:w="808"/>
        <w:gridCol w:w="1479"/>
        <w:gridCol w:w="226"/>
        <w:gridCol w:w="196"/>
        <w:gridCol w:w="259"/>
        <w:gridCol w:w="1080"/>
        <w:gridCol w:w="265"/>
        <w:gridCol w:w="139"/>
        <w:gridCol w:w="316"/>
        <w:gridCol w:w="780"/>
      </w:tblGrid>
      <w:tr w14:paraId="1C6D8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D975945">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14:paraId="5742B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589035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860C29B">
            <w:pPr>
              <w:autoSpaceDN w:val="0"/>
              <w:spacing w:line="320" w:lineRule="exact"/>
              <w:ind w:firstLine="1440" w:firstLineChars="600"/>
              <w:jc w:val="both"/>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郝元满</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8304D2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D2B7CC7">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07307621324</w:t>
            </w:r>
          </w:p>
        </w:tc>
      </w:tr>
      <w:tr w14:paraId="119EE7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17735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11A164">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24</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25EA7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BA3B629">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555</w:t>
            </w:r>
          </w:p>
        </w:tc>
      </w:tr>
      <w:tr w14:paraId="138AC9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5"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F3B19C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4D07086">
            <w:pPr>
              <w:autoSpaceDN w:val="0"/>
              <w:spacing w:line="320" w:lineRule="exac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承担县城市容环境卫生</w:t>
            </w:r>
            <w:r>
              <w:rPr>
                <w:rFonts w:hint="eastAsia" w:ascii="仿宋_GB2312" w:hAnsi="仿宋_GB2312" w:eastAsia="仿宋_GB2312" w:cs="仿宋_GB2312"/>
                <w:color w:val="000000"/>
                <w:sz w:val="24"/>
                <w:lang w:val="en-US" w:eastAsia="zh-CN"/>
              </w:rPr>
              <w:t>服务</w:t>
            </w:r>
            <w:r>
              <w:rPr>
                <w:rFonts w:hint="eastAsia" w:ascii="仿宋_GB2312" w:hAnsi="仿宋_GB2312" w:eastAsia="仿宋_GB2312" w:cs="仿宋_GB2312"/>
                <w:color w:val="000000"/>
                <w:sz w:val="24"/>
              </w:rPr>
              <w:t>方面的事务性工作。负责起草县城市容环境卫生发展规划草案</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起草县城市容环境卫生设施建设规划草案</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起草县城市容环境卫</w:t>
            </w:r>
          </w:p>
          <w:p w14:paraId="18C0E949">
            <w:pPr>
              <w:autoSpaceDN w:val="0"/>
              <w:spacing w:line="320" w:lineRule="exact"/>
              <w:jc w:val="both"/>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生作业标准草案。执行县城市容环境卫生作业标准</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落实县城大街小巷、临街门面</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单位、城乡结合部等市容环境卫生责任制</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协助</w:t>
            </w:r>
            <w:r>
              <w:rPr>
                <w:rFonts w:hint="eastAsia" w:ascii="仿宋_GB2312" w:hAnsi="仿宋_GB2312" w:eastAsia="仿宋_GB2312" w:cs="仿宋_GB2312"/>
                <w:color w:val="000000"/>
                <w:sz w:val="24"/>
                <w:lang w:val="en-US" w:eastAsia="zh-CN"/>
              </w:rPr>
              <w:t>税务部门代收代缴</w:t>
            </w:r>
            <w:r>
              <w:rPr>
                <w:rFonts w:hint="eastAsia" w:ascii="仿宋_GB2312" w:hAnsi="仿宋_GB2312" w:eastAsia="仿宋_GB2312" w:cs="仿宋_GB2312"/>
                <w:color w:val="000000"/>
                <w:sz w:val="24"/>
              </w:rPr>
              <w:t>县城市容环境卫生服务有关规费。负责县城主次街道清扫、</w:t>
            </w:r>
            <w:r>
              <w:rPr>
                <w:rFonts w:hint="eastAsia" w:ascii="仿宋_GB2312" w:hAnsi="仿宋_GB2312" w:eastAsia="仿宋_GB2312" w:cs="仿宋_GB2312"/>
                <w:color w:val="000000"/>
                <w:sz w:val="24"/>
                <w:lang w:val="en-US" w:eastAsia="zh-CN"/>
              </w:rPr>
              <w:t>公厕、</w:t>
            </w:r>
            <w:r>
              <w:rPr>
                <w:rFonts w:hint="eastAsia" w:ascii="仿宋_GB2312" w:hAnsi="仿宋_GB2312" w:eastAsia="仿宋_GB2312" w:cs="仿宋_GB2312"/>
                <w:color w:val="000000"/>
                <w:sz w:val="24"/>
              </w:rPr>
              <w:t>垃圾站和垃圾容器保洁；负责县城市容环境卫生设施设备保养</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lang w:val="en-US" w:eastAsia="zh-CN"/>
              </w:rPr>
              <w:t>维修、维护；负责县城区生活垃圾、餐厨垃圾收转运工作；负责县城门店、居民住户生活垃圾收集；负责县城主次街道冲洗、洒水、机械化清扫；负责县城主次街道“牛皮癣”清理等。</w:t>
            </w:r>
          </w:p>
          <w:p w14:paraId="2C66BEDA">
            <w:pPr>
              <w:autoSpaceDN w:val="0"/>
              <w:spacing w:line="320" w:lineRule="exact"/>
              <w:jc w:val="center"/>
              <w:textAlignment w:val="center"/>
              <w:rPr>
                <w:rFonts w:hint="eastAsia" w:ascii="仿宋_GB2312" w:hAnsi="仿宋_GB2312" w:eastAsia="仿宋_GB2312" w:cs="仿宋_GB2312"/>
                <w:color w:val="000000"/>
                <w:sz w:val="24"/>
                <w:lang w:eastAsia="zh-CN"/>
              </w:rPr>
            </w:pPr>
          </w:p>
        </w:tc>
      </w:tr>
      <w:tr w14:paraId="4E0F2E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19"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9867A9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14:paraId="0CBBA9F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C1D9D63">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000000"/>
                <w:sz w:val="24"/>
                <w:lang w:val="en-US" w:eastAsia="zh-CN"/>
              </w:rPr>
              <w:t>着力解决环卫热点、难点问题，进一步改善县城市容和环境卫生面貌，全面提升城区市容和环境卫生服务水平；</w:t>
            </w:r>
          </w:p>
          <w:p w14:paraId="682C01E4">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任务2：</w:t>
            </w:r>
            <w:r>
              <w:rPr>
                <w:rFonts w:hint="eastAsia" w:ascii="仿宋_GB2312" w:hAnsi="仿宋_GB2312" w:eastAsia="仿宋_GB2312" w:cs="仿宋_GB2312"/>
                <w:color w:val="000000"/>
                <w:sz w:val="24"/>
                <w:lang w:val="en-US" w:eastAsia="zh-CN"/>
              </w:rPr>
              <w:t>持续推进小块责任承包，推动各项管理改革措施；</w:t>
            </w:r>
          </w:p>
          <w:p w14:paraId="23A3CB49">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任务3：巩固环卫日常生产工作，全年预算申请到位，下拨数量在95%以上，三公经费变动率</w:t>
            </w:r>
            <w:r>
              <w:rPr>
                <w:rFonts w:hint="default" w:ascii="仿宋_GB2312" w:hAnsi="仿宋_GB2312" w:eastAsia="仿宋_GB2312" w:cs="仿宋_GB2312"/>
                <w:color w:val="000000"/>
                <w:sz w:val="24"/>
                <w:lang w:val="en-US" w:eastAsia="zh-CN"/>
              </w:rPr>
              <w:t>≤</w:t>
            </w:r>
            <w:r>
              <w:rPr>
                <w:rFonts w:hint="eastAsia" w:ascii="仿宋_GB2312" w:hAnsi="仿宋_GB2312" w:eastAsia="仿宋_GB2312" w:cs="仿宋_GB2312"/>
                <w:color w:val="000000"/>
                <w:sz w:val="24"/>
                <w:lang w:val="en-US" w:eastAsia="zh-CN"/>
              </w:rPr>
              <w:t>0.社会效益、经济效益、生态效率和社会公众满意度达到预期目标。</w:t>
            </w:r>
          </w:p>
          <w:p w14:paraId="007CEDEB">
            <w:pPr>
              <w:autoSpaceDN w:val="0"/>
              <w:spacing w:line="320" w:lineRule="exact"/>
              <w:jc w:val="left"/>
              <w:textAlignment w:val="center"/>
              <w:rPr>
                <w:rFonts w:hint="default" w:ascii="仿宋_GB2312" w:hAnsi="仿宋_GB2312" w:eastAsia="仿宋_GB2312" w:cs="仿宋_GB2312"/>
                <w:color w:val="000000"/>
                <w:sz w:val="24"/>
                <w:lang w:val="en-US" w:eastAsia="zh-CN"/>
              </w:rPr>
            </w:pPr>
          </w:p>
          <w:p w14:paraId="75F698B2">
            <w:pPr>
              <w:autoSpaceDN w:val="0"/>
              <w:spacing w:line="320" w:lineRule="exact"/>
              <w:jc w:val="center"/>
              <w:textAlignment w:val="center"/>
              <w:rPr>
                <w:rFonts w:hint="eastAsia" w:ascii="仿宋_GB2312" w:hAnsi="仿宋_GB2312" w:eastAsia="仿宋_GB2312" w:cs="仿宋_GB2312"/>
                <w:color w:val="000000"/>
                <w:sz w:val="24"/>
              </w:rPr>
            </w:pPr>
          </w:p>
        </w:tc>
      </w:tr>
      <w:tr w14:paraId="7327C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50E895A">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0969B8">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单位全年平稳运行，资金使用安全，收支平衡。</w:t>
            </w:r>
          </w:p>
          <w:p w14:paraId="601D7DA4">
            <w:pPr>
              <w:autoSpaceDN w:val="0"/>
              <w:spacing w:line="320" w:lineRule="exact"/>
              <w:jc w:val="center"/>
              <w:textAlignment w:val="center"/>
              <w:rPr>
                <w:rFonts w:hint="eastAsia" w:ascii="仿宋_GB2312" w:hAnsi="仿宋_GB2312" w:eastAsia="仿宋_GB2312" w:cs="仿宋_GB2312"/>
                <w:color w:val="000000"/>
                <w:sz w:val="24"/>
                <w:lang w:val="en-US" w:eastAsia="zh-CN"/>
              </w:rPr>
            </w:pPr>
          </w:p>
          <w:p w14:paraId="630FC75B">
            <w:pPr>
              <w:autoSpaceDN w:val="0"/>
              <w:spacing w:line="320" w:lineRule="exact"/>
              <w:jc w:val="center"/>
              <w:textAlignment w:val="center"/>
              <w:rPr>
                <w:rFonts w:hint="eastAsia" w:ascii="仿宋_GB2312" w:hAnsi="仿宋_GB2312" w:eastAsia="仿宋_GB2312" w:cs="仿宋_GB2312"/>
                <w:color w:val="000000"/>
                <w:sz w:val="24"/>
              </w:rPr>
            </w:pPr>
          </w:p>
        </w:tc>
      </w:tr>
      <w:tr w14:paraId="61317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05A4436">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14:paraId="1C318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D905C0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14:paraId="1AFDC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6DB7CF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A7F024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175"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DA2356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7E6A6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F5DE4BD">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478CBC64">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AC107A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0DCFFD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14:paraId="46CC30F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405633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6611CA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8D3FC4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14:paraId="1BFD17B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14:paraId="4CE50F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7C81450">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岳阳县市容环境卫生服务中心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D346336">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4137.96</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9D17176">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1.37</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58D6E8B">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2234.63</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5B5BCFE">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6.16</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BB667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200</w:t>
            </w: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B9BCDD">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1695.81</w:t>
            </w:r>
          </w:p>
        </w:tc>
      </w:tr>
      <w:tr w14:paraId="02D04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BA22795">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FD68CA5">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02F0E21">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64EB4AF">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891544">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BE930B0">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E293D3">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r>
      <w:tr w14:paraId="26952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EBB9EF">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0DDB4F3">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42FFF2A">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613110B">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A2BB687">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CA5A463">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3EF85B5">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r>
      <w:tr w14:paraId="02B2A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FC398F">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1FC0587">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1A8B4FE">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01B2C96">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CB80A33">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320BA06">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7082B5">
            <w:pPr>
              <w:autoSpaceDN w:val="0"/>
              <w:spacing w:line="320" w:lineRule="exact"/>
              <w:jc w:val="left"/>
              <w:textAlignment w:val="center"/>
              <w:rPr>
                <w:rFonts w:ascii="仿宋_GB2312" w:hAnsi="仿宋_GB2312" w:eastAsia="仿宋_GB2312" w:cs="仿宋_GB2312"/>
                <w:color w:val="000000"/>
                <w:sz w:val="24"/>
              </w:rPr>
            </w:pPr>
          </w:p>
        </w:tc>
      </w:tr>
      <w:tr w14:paraId="31929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E73D5E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14:paraId="45922C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22E096E">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D1D41C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14:paraId="4F805FB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500"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14:paraId="4B2D920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14:paraId="5F46E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39F2DDD">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1D6B116D">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0C1C42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6"/>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1C1C1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1A5702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276AC67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780"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71ABCE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14:paraId="3C8F0A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42338EC">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1A6F39AC">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14:paraId="0D339BF1">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B53535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B6A85B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left w:val="single" w:color="000000" w:sz="4" w:space="0"/>
              <w:bottom w:val="single" w:color="000000" w:sz="4" w:space="0"/>
              <w:right w:val="single" w:color="auto" w:sz="4" w:space="0"/>
            </w:tcBorders>
            <w:vAlign w:val="center"/>
          </w:tcPr>
          <w:p w14:paraId="1B48FEB4">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14:paraId="33D1C0E3">
            <w:pPr>
              <w:widowControl/>
              <w:jc w:val="left"/>
              <w:rPr>
                <w:rFonts w:ascii="仿宋_GB2312" w:hAnsi="仿宋_GB2312" w:eastAsia="仿宋_GB2312" w:cs="仿宋_GB2312"/>
                <w:color w:val="000000"/>
                <w:sz w:val="24"/>
              </w:rPr>
            </w:pPr>
          </w:p>
        </w:tc>
        <w:tc>
          <w:tcPr>
            <w:tcW w:w="780" w:type="dxa"/>
            <w:vMerge w:val="continue"/>
            <w:tcBorders>
              <w:top w:val="single" w:color="auto" w:sz="4" w:space="0"/>
              <w:left w:val="single" w:color="auto" w:sz="4" w:space="0"/>
              <w:bottom w:val="single" w:color="000000" w:sz="4" w:space="0"/>
              <w:right w:val="single" w:color="000000" w:sz="4" w:space="0"/>
            </w:tcBorders>
            <w:vAlign w:val="center"/>
          </w:tcPr>
          <w:p w14:paraId="08E1E2BE">
            <w:pPr>
              <w:widowControl/>
              <w:jc w:val="left"/>
              <w:rPr>
                <w:rFonts w:ascii="仿宋_GB2312" w:hAnsi="仿宋_GB2312" w:eastAsia="仿宋_GB2312" w:cs="仿宋_GB2312"/>
                <w:color w:val="000000"/>
                <w:sz w:val="24"/>
              </w:rPr>
            </w:pPr>
          </w:p>
        </w:tc>
      </w:tr>
      <w:tr w14:paraId="1AF5F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64F296C">
            <w:pPr>
              <w:tabs>
                <w:tab w:val="center" w:pos="835"/>
              </w:tabs>
              <w:spacing w:line="320" w:lineRule="exact"/>
              <w:jc w:val="left"/>
              <w:rPr>
                <w:rFonts w:hint="eastAsia" w:ascii="仿宋_GB2312" w:hAnsi="仿宋_GB2312" w:eastAsia="仿宋_GB2312" w:cs="仿宋_GB2312"/>
                <w:color w:val="auto"/>
                <w:sz w:val="24"/>
                <w:shd w:val="clear" w:color="auto" w:fill="auto"/>
                <w:lang w:val="en-US" w:eastAsia="zh-CN"/>
              </w:rPr>
            </w:pPr>
            <w:r>
              <w:rPr>
                <w:rFonts w:hint="eastAsia" w:ascii="仿宋_GB2312" w:hAnsi="仿宋_GB2312" w:eastAsia="仿宋_GB2312" w:cs="仿宋_GB2312"/>
                <w:color w:val="auto"/>
                <w:sz w:val="24"/>
                <w:shd w:val="clear" w:color="auto" w:fill="auto"/>
                <w:lang w:val="en-US" w:eastAsia="zh-CN"/>
              </w:rPr>
              <w:t xml:space="preserve"> </w:t>
            </w:r>
            <w:r>
              <w:rPr>
                <w:rFonts w:hint="eastAsia" w:ascii="仿宋_GB2312" w:hAnsi="仿宋_GB2312" w:eastAsia="仿宋_GB2312" w:cs="仿宋_GB2312"/>
                <w:color w:val="auto"/>
                <w:sz w:val="24"/>
                <w:shd w:val="clear" w:color="auto" w:fill="auto"/>
                <w:lang w:val="en-US" w:eastAsia="zh-CN"/>
              </w:rPr>
              <w:tab/>
            </w:r>
            <w:r>
              <w:rPr>
                <w:rFonts w:hint="eastAsia" w:ascii="仿宋_GB2312" w:hAnsi="仿宋_GB2312" w:eastAsia="仿宋_GB2312" w:cs="仿宋_GB2312"/>
                <w:color w:val="auto"/>
                <w:sz w:val="24"/>
                <w:shd w:val="clear" w:color="auto" w:fill="auto"/>
                <w:lang w:eastAsia="zh-CN"/>
              </w:rPr>
              <w:t>岳阳县市容环境卫生服务中心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2FB2BFB">
            <w:pPr>
              <w:autoSpaceDN w:val="0"/>
              <w:spacing w:line="320" w:lineRule="exact"/>
              <w:jc w:val="center"/>
              <w:textAlignment w:val="center"/>
              <w:rPr>
                <w:rFonts w:hint="default" w:ascii="仿宋_GB2312" w:hAnsi="仿宋_GB2312" w:eastAsia="仿宋_GB2312" w:cs="仿宋_GB2312"/>
                <w:color w:val="auto"/>
                <w:sz w:val="24"/>
                <w:shd w:val="clear" w:color="auto" w:fill="auto"/>
                <w:lang w:val="en-US" w:eastAsia="zh-CN"/>
              </w:rPr>
            </w:pPr>
            <w:r>
              <w:rPr>
                <w:rFonts w:hint="eastAsia" w:ascii="仿宋_GB2312" w:hAnsi="仿宋_GB2312" w:eastAsia="仿宋_GB2312" w:cs="仿宋_GB2312"/>
                <w:color w:val="auto"/>
                <w:sz w:val="24"/>
                <w:shd w:val="clear" w:color="auto" w:fill="auto"/>
                <w:lang w:val="en-US" w:eastAsia="zh-CN"/>
              </w:rPr>
              <w:t>4137.96</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1BB111E">
            <w:pPr>
              <w:autoSpaceDN w:val="0"/>
              <w:spacing w:line="320" w:lineRule="exact"/>
              <w:ind w:firstLine="240" w:firstLineChars="100"/>
              <w:jc w:val="both"/>
              <w:textAlignment w:val="center"/>
              <w:rPr>
                <w:rFonts w:hint="default" w:ascii="仿宋_GB2312" w:hAnsi="仿宋_GB2312" w:eastAsia="仿宋_GB2312" w:cs="仿宋_GB2312"/>
                <w:color w:val="auto"/>
                <w:sz w:val="24"/>
                <w:shd w:val="clear" w:color="auto" w:fill="auto"/>
                <w:lang w:val="en-US" w:eastAsia="zh-CN"/>
              </w:rPr>
            </w:pPr>
            <w:r>
              <w:rPr>
                <w:rFonts w:hint="eastAsia" w:ascii="仿宋_GB2312" w:hAnsi="仿宋_GB2312" w:eastAsia="仿宋_GB2312" w:cs="仿宋_GB2312"/>
                <w:color w:val="auto"/>
                <w:sz w:val="24"/>
                <w:shd w:val="clear" w:color="auto" w:fill="auto"/>
                <w:lang w:val="en-US" w:eastAsia="zh-CN"/>
              </w:rPr>
              <w:t>1880.93</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EB2FD6">
            <w:pPr>
              <w:autoSpaceDN w:val="0"/>
              <w:spacing w:line="320" w:lineRule="exact"/>
              <w:jc w:val="both"/>
              <w:textAlignment w:val="center"/>
              <w:rPr>
                <w:rFonts w:hint="default" w:ascii="仿宋_GB2312" w:hAnsi="仿宋_GB2312" w:eastAsia="仿宋_GB2312" w:cs="仿宋_GB2312"/>
                <w:color w:val="auto"/>
                <w:sz w:val="24"/>
                <w:shd w:val="clear" w:color="auto" w:fill="auto"/>
                <w:lang w:val="en-US" w:eastAsia="zh-CN"/>
              </w:rPr>
            </w:pPr>
            <w:r>
              <w:rPr>
                <w:rFonts w:hint="eastAsia" w:ascii="仿宋_GB2312" w:hAnsi="仿宋_GB2312" w:eastAsia="仿宋_GB2312" w:cs="仿宋_GB2312"/>
                <w:color w:val="auto"/>
                <w:sz w:val="24"/>
                <w:shd w:val="clear" w:color="auto" w:fill="auto"/>
                <w:lang w:val="en-US" w:eastAsia="zh-CN"/>
              </w:rPr>
              <w:t>783.88</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4B93BBA">
            <w:pPr>
              <w:autoSpaceDN w:val="0"/>
              <w:spacing w:line="320" w:lineRule="exact"/>
              <w:ind w:firstLine="480" w:firstLineChars="200"/>
              <w:jc w:val="both"/>
              <w:textAlignment w:val="center"/>
              <w:rPr>
                <w:rFonts w:hint="default" w:ascii="仿宋_GB2312" w:hAnsi="仿宋_GB2312" w:eastAsia="仿宋_GB2312" w:cs="仿宋_GB2312"/>
                <w:color w:val="auto"/>
                <w:sz w:val="24"/>
                <w:shd w:val="clear" w:color="auto" w:fill="auto"/>
                <w:lang w:val="en-US" w:eastAsia="zh-CN"/>
              </w:rPr>
            </w:pPr>
            <w:r>
              <w:rPr>
                <w:rFonts w:hint="eastAsia" w:ascii="仿宋_GB2312" w:hAnsi="仿宋_GB2312" w:eastAsia="仿宋_GB2312" w:cs="仿宋_GB2312"/>
                <w:color w:val="auto"/>
                <w:sz w:val="24"/>
                <w:shd w:val="clear" w:color="auto" w:fill="auto"/>
                <w:lang w:val="en-US" w:eastAsia="zh-CN"/>
              </w:rPr>
              <w:t>167.17</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35DDEE5">
            <w:pPr>
              <w:autoSpaceDN w:val="0"/>
              <w:spacing w:line="320" w:lineRule="exact"/>
              <w:jc w:val="center"/>
              <w:textAlignment w:val="center"/>
              <w:rPr>
                <w:rFonts w:hint="default" w:ascii="仿宋_GB2312" w:hAnsi="仿宋_GB2312" w:eastAsia="仿宋_GB2312" w:cs="仿宋_GB2312"/>
                <w:color w:val="auto"/>
                <w:sz w:val="24"/>
                <w:shd w:val="clear" w:color="auto" w:fill="auto"/>
                <w:lang w:val="en-US" w:eastAsia="zh-CN"/>
              </w:rPr>
            </w:pPr>
            <w:r>
              <w:rPr>
                <w:rFonts w:hint="eastAsia" w:ascii="仿宋_GB2312" w:hAnsi="仿宋_GB2312" w:eastAsia="仿宋_GB2312" w:cs="仿宋_GB2312"/>
                <w:color w:val="auto"/>
                <w:sz w:val="24"/>
                <w:shd w:val="clear" w:color="auto" w:fill="auto"/>
                <w:lang w:val="en-US" w:eastAsia="zh-CN"/>
              </w:rPr>
              <w:t>2163.78</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C953EF8">
            <w:pPr>
              <w:autoSpaceDN w:val="0"/>
              <w:spacing w:line="320" w:lineRule="exact"/>
              <w:jc w:val="center"/>
              <w:textAlignment w:val="center"/>
              <w:rPr>
                <w:rFonts w:hint="default" w:ascii="仿宋_GB2312" w:hAnsi="仿宋_GB2312" w:eastAsia="仿宋_GB2312" w:cs="仿宋_GB2312"/>
                <w:color w:val="auto"/>
                <w:sz w:val="24"/>
                <w:shd w:val="clear" w:color="auto" w:fill="auto"/>
                <w:lang w:val="en-US" w:eastAsia="zh-CN"/>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1300530">
            <w:pPr>
              <w:autoSpaceDN w:val="0"/>
              <w:spacing w:line="320" w:lineRule="exact"/>
              <w:jc w:val="center"/>
              <w:textAlignment w:val="center"/>
              <w:rPr>
                <w:rFonts w:hint="default" w:ascii="仿宋_GB2312" w:hAnsi="仿宋_GB2312" w:eastAsia="仿宋_GB2312" w:cs="仿宋_GB2312"/>
                <w:color w:val="auto"/>
                <w:sz w:val="24"/>
                <w:shd w:val="clear" w:color="auto" w:fill="auto"/>
                <w:lang w:val="en-US" w:eastAsia="zh-CN"/>
              </w:rPr>
            </w:pPr>
            <w:r>
              <w:rPr>
                <w:rFonts w:hint="eastAsia" w:ascii="仿宋_GB2312" w:hAnsi="仿宋_GB2312" w:eastAsia="仿宋_GB2312" w:cs="仿宋_GB2312"/>
                <w:color w:val="auto"/>
                <w:sz w:val="24"/>
                <w:shd w:val="clear" w:color="auto" w:fill="auto"/>
                <w:lang w:val="en-US" w:eastAsia="zh-CN"/>
              </w:rPr>
              <w:t>93.25</w:t>
            </w:r>
          </w:p>
        </w:tc>
      </w:tr>
      <w:tr w14:paraId="53680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9A33BCC">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7C40BA5">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1A4407F">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D6D84B">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3671A26">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CA595D3">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A5BC6E4">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90DEA1A">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14:paraId="4EE5D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152BDC0">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D5B17D7">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F4F2969">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69022D6">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8C117E6">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F8AFAC">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45D3BA5">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3CE0364">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14:paraId="42578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8828F1C">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485ED11">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231C3D3">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800A68">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F3039BF">
            <w:pPr>
              <w:autoSpaceDN w:val="0"/>
              <w:spacing w:line="320" w:lineRule="exact"/>
              <w:jc w:val="center"/>
              <w:textAlignment w:val="center"/>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6CAE95">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F2BA91C">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2DA4193">
            <w:pPr>
              <w:autoSpaceDN w:val="0"/>
              <w:spacing w:line="320" w:lineRule="exact"/>
              <w:jc w:val="center"/>
              <w:textAlignment w:val="center"/>
              <w:rPr>
                <w:rFonts w:ascii="仿宋_GB2312" w:hAnsi="仿宋_GB2312" w:eastAsia="仿宋_GB2312" w:cs="仿宋_GB2312"/>
                <w:color w:val="000000"/>
                <w:sz w:val="24"/>
              </w:rPr>
            </w:pPr>
          </w:p>
        </w:tc>
      </w:tr>
      <w:tr w14:paraId="14C31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F5EEA26">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7CE14D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14:paraId="276A920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175"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A84CFA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7AD067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A2C0EE2">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123C4639">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F1C681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9AB991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AC9DA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F597F6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14:paraId="4F9EB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B7355C">
            <w:pPr>
              <w:spacing w:line="320" w:lineRule="exact"/>
              <w:jc w:val="left"/>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color w:val="000000"/>
                <w:sz w:val="24"/>
                <w:lang w:eastAsia="zh-CN"/>
              </w:rPr>
              <w:t>岳阳县市容环境卫生服务中心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4ED684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CC7BF0E">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BB93B1B">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22A775">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2A2DC9">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14:paraId="1A33D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4E31E9A">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1F20639">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4AD8A02">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C07531">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6C1D4A5">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EE21B98">
            <w:pPr>
              <w:autoSpaceDN w:val="0"/>
              <w:spacing w:line="320" w:lineRule="exact"/>
              <w:jc w:val="center"/>
              <w:textAlignment w:val="center"/>
              <w:rPr>
                <w:rFonts w:ascii="仿宋_GB2312" w:hAnsi="仿宋_GB2312" w:eastAsia="仿宋_GB2312" w:cs="仿宋_GB2312"/>
                <w:color w:val="000000"/>
                <w:sz w:val="24"/>
              </w:rPr>
            </w:pPr>
          </w:p>
        </w:tc>
      </w:tr>
      <w:tr w14:paraId="6DB52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999466B">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293627B">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5810C60">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92A4AF7">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500A5B9">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7A3EC1">
            <w:pPr>
              <w:autoSpaceDN w:val="0"/>
              <w:spacing w:line="320" w:lineRule="exact"/>
              <w:jc w:val="center"/>
              <w:textAlignment w:val="center"/>
              <w:rPr>
                <w:rFonts w:ascii="仿宋_GB2312" w:hAnsi="仿宋_GB2312" w:eastAsia="仿宋_GB2312" w:cs="仿宋_GB2312"/>
                <w:color w:val="000000"/>
                <w:sz w:val="24"/>
              </w:rPr>
            </w:pPr>
          </w:p>
        </w:tc>
      </w:tr>
      <w:tr w14:paraId="3BA13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9F271E6">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5D92FE3">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59DE651">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0880F9">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B877CA">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BAFC9E0">
            <w:pPr>
              <w:autoSpaceDN w:val="0"/>
              <w:spacing w:line="320" w:lineRule="exact"/>
              <w:jc w:val="center"/>
              <w:textAlignment w:val="center"/>
              <w:rPr>
                <w:rFonts w:ascii="仿宋_GB2312" w:hAnsi="仿宋_GB2312" w:eastAsia="仿宋_GB2312" w:cs="仿宋_GB2312"/>
                <w:color w:val="000000"/>
                <w:sz w:val="24"/>
              </w:rPr>
            </w:pPr>
          </w:p>
        </w:tc>
      </w:tr>
      <w:tr w14:paraId="46E13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88EB0E">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149C1B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14:paraId="59ECAD0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1D109D7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96"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3B86D7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14:paraId="3EF82F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7F41A31">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251658A4">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6CB5B6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BE33A6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1096" w:type="dxa"/>
            <w:gridSpan w:val="2"/>
            <w:vMerge w:val="continue"/>
            <w:tcBorders>
              <w:top w:val="single" w:color="000000" w:sz="4" w:space="0"/>
              <w:left w:val="single" w:color="auto" w:sz="4" w:space="0"/>
              <w:bottom w:val="single" w:color="000000" w:sz="4" w:space="0"/>
              <w:right w:val="single" w:color="000000" w:sz="4" w:space="0"/>
            </w:tcBorders>
            <w:vAlign w:val="center"/>
          </w:tcPr>
          <w:p w14:paraId="24708DE5">
            <w:pPr>
              <w:widowControl/>
              <w:jc w:val="left"/>
              <w:rPr>
                <w:rFonts w:ascii="仿宋_GB2312" w:hAnsi="仿宋_GB2312" w:eastAsia="仿宋_GB2312" w:cs="仿宋_GB2312"/>
                <w:color w:val="000000"/>
                <w:sz w:val="24"/>
              </w:rPr>
            </w:pPr>
          </w:p>
        </w:tc>
      </w:tr>
      <w:tr w14:paraId="78750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261C0C">
            <w:pPr>
              <w:spacing w:line="320" w:lineRule="exact"/>
              <w:ind w:left="480" w:hanging="480" w:hangingChars="200"/>
              <w:jc w:val="left"/>
              <w:rPr>
                <w:rFonts w:hint="eastAsia" w:ascii="仿宋_GB2312" w:hAnsi="仿宋_GB2312" w:eastAsia="仿宋_GB2312" w:cs="仿宋_GB2312"/>
                <w:sz w:val="24"/>
                <w:lang w:eastAsia="zh-CN"/>
              </w:rPr>
            </w:pPr>
            <w:r>
              <w:rPr>
                <w:rFonts w:hint="eastAsia" w:ascii="仿宋_GB2312" w:hAnsi="仿宋_GB2312" w:eastAsia="仿宋_GB2312" w:cs="仿宋_GB2312"/>
                <w:color w:val="000000"/>
                <w:sz w:val="24"/>
                <w:lang w:eastAsia="zh-CN"/>
              </w:rPr>
              <w:t>岳阳县市容环境卫生服务中心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2DEE5C5">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4407.74</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AFC3E6A">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4407.74</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74AA477">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6567F84">
            <w:pPr>
              <w:autoSpaceDN w:val="0"/>
              <w:spacing w:line="320" w:lineRule="exact"/>
              <w:jc w:val="center"/>
              <w:textAlignment w:val="center"/>
              <w:rPr>
                <w:rFonts w:ascii="仿宋_GB2312" w:hAnsi="仿宋_GB2312" w:eastAsia="仿宋_GB2312" w:cs="仿宋_GB2312"/>
                <w:color w:val="000000"/>
                <w:sz w:val="24"/>
              </w:rPr>
            </w:pPr>
          </w:p>
        </w:tc>
      </w:tr>
      <w:tr w14:paraId="352D1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63A2614">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5CADE52">
            <w:pPr>
              <w:autoSpaceDN w:val="0"/>
              <w:spacing w:line="320" w:lineRule="exact"/>
              <w:jc w:val="center"/>
              <w:textAlignment w:val="center"/>
              <w:rPr>
                <w:rFonts w:hint="eastAsia" w:ascii="仿宋_GB2312" w:hAnsi="仿宋_GB2312" w:eastAsia="仿宋_GB2312" w:cs="仿宋_GB2312"/>
                <w:color w:val="000000" w:themeColor="text1"/>
                <w:sz w:val="24"/>
                <w:lang w:val="en-US" w:eastAsia="zh-CN"/>
                <w14:textFill>
                  <w14:solidFill>
                    <w14:schemeClr w14:val="tx1"/>
                  </w14:solidFill>
                </w14:textFill>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F5F9604">
            <w:pPr>
              <w:autoSpaceDN w:val="0"/>
              <w:spacing w:line="320" w:lineRule="exact"/>
              <w:jc w:val="center"/>
              <w:textAlignment w:val="center"/>
              <w:rPr>
                <w:rFonts w:ascii="仿宋_GB2312" w:hAnsi="仿宋_GB2312" w:eastAsia="仿宋_GB2312" w:cs="仿宋_GB2312"/>
                <w:color w:val="000000" w:themeColor="text1"/>
                <w:sz w:val="24"/>
                <w:lang w:val="en-US"/>
                <w14:textFill>
                  <w14:solidFill>
                    <w14:schemeClr w14:val="tx1"/>
                  </w14:solidFill>
                </w14:textFill>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E5603F">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FE7E06A">
            <w:pPr>
              <w:autoSpaceDN w:val="0"/>
              <w:spacing w:line="320" w:lineRule="exact"/>
              <w:jc w:val="center"/>
              <w:textAlignment w:val="center"/>
              <w:rPr>
                <w:rFonts w:ascii="仿宋_GB2312" w:hAnsi="仿宋_GB2312" w:eastAsia="仿宋_GB2312" w:cs="仿宋_GB2312"/>
                <w:color w:val="000000"/>
                <w:sz w:val="24"/>
              </w:rPr>
            </w:pPr>
          </w:p>
        </w:tc>
      </w:tr>
      <w:tr w14:paraId="300793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E5589F">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E31F482">
            <w:pPr>
              <w:autoSpaceDN w:val="0"/>
              <w:spacing w:line="320" w:lineRule="exact"/>
              <w:jc w:val="center"/>
              <w:textAlignment w:val="center"/>
              <w:rPr>
                <w:rFonts w:hint="eastAsia" w:ascii="仿宋_GB2312" w:hAnsi="仿宋_GB2312" w:eastAsia="仿宋_GB2312" w:cs="仿宋_GB2312"/>
                <w:color w:val="000000" w:themeColor="text1"/>
                <w:sz w:val="24"/>
                <w:lang w:val="en-US" w:eastAsia="zh-CN"/>
                <w14:textFill>
                  <w14:solidFill>
                    <w14:schemeClr w14:val="tx1"/>
                  </w14:solidFill>
                </w14:textFill>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D0974AE">
            <w:pPr>
              <w:autoSpaceDN w:val="0"/>
              <w:spacing w:line="320" w:lineRule="exact"/>
              <w:jc w:val="center"/>
              <w:textAlignment w:val="center"/>
              <w:rPr>
                <w:rFonts w:ascii="仿宋_GB2312" w:hAnsi="仿宋_GB2312" w:eastAsia="仿宋_GB2312" w:cs="仿宋_GB2312"/>
                <w:color w:val="000000" w:themeColor="text1"/>
                <w:sz w:val="24"/>
                <w:lang w:val="en-US"/>
                <w14:textFill>
                  <w14:solidFill>
                    <w14:schemeClr w14:val="tx1"/>
                  </w14:solidFill>
                </w14:textFill>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42D686F">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936F1D">
            <w:pPr>
              <w:autoSpaceDN w:val="0"/>
              <w:spacing w:line="320" w:lineRule="exact"/>
              <w:jc w:val="center"/>
              <w:textAlignment w:val="center"/>
              <w:rPr>
                <w:rFonts w:ascii="仿宋_GB2312" w:hAnsi="仿宋_GB2312" w:eastAsia="仿宋_GB2312" w:cs="仿宋_GB2312"/>
                <w:color w:val="000000"/>
                <w:sz w:val="24"/>
              </w:rPr>
            </w:pPr>
          </w:p>
        </w:tc>
      </w:tr>
      <w:tr w14:paraId="24E1E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7BF52F">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17857F2">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2FA02D7">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BF0FDC6">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B01C5C1">
            <w:pPr>
              <w:autoSpaceDN w:val="0"/>
              <w:spacing w:line="320" w:lineRule="exact"/>
              <w:jc w:val="center"/>
              <w:textAlignment w:val="center"/>
              <w:rPr>
                <w:rFonts w:ascii="仿宋_GB2312" w:hAnsi="仿宋_GB2312" w:eastAsia="仿宋_GB2312" w:cs="仿宋_GB2312"/>
                <w:color w:val="000000"/>
                <w:sz w:val="24"/>
              </w:rPr>
            </w:pPr>
          </w:p>
        </w:tc>
      </w:tr>
      <w:tr w14:paraId="37BF8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8D6FB7">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14:paraId="700CE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4E666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960BB9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740"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829452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14:paraId="7B067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AF02850">
            <w:pPr>
              <w:widowControl/>
              <w:jc w:val="left"/>
              <w:rPr>
                <w:rFonts w:ascii="仿宋_GB2312" w:hAnsi="仿宋_GB2312" w:eastAsia="仿宋_GB2312" w:cs="仿宋_GB2312"/>
                <w:color w:val="000000"/>
                <w:sz w:val="24"/>
              </w:rPr>
            </w:pP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C55703">
            <w:pPr>
              <w:autoSpaceDN w:val="0"/>
              <w:spacing w:line="400" w:lineRule="exact"/>
              <w:jc w:val="left"/>
              <w:textAlignment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目标1：</w:t>
            </w:r>
            <w:r>
              <w:rPr>
                <w:rFonts w:hint="eastAsia" w:ascii="仿宋_GB2312" w:hAnsi="仿宋_GB2312" w:eastAsia="仿宋_GB2312" w:cs="仿宋_GB2312"/>
                <w:color w:val="auto"/>
                <w:sz w:val="24"/>
                <w:lang w:eastAsia="zh-CN"/>
              </w:rPr>
              <w:t>全年预算申请到位和下达数量在</w:t>
            </w:r>
            <w:r>
              <w:rPr>
                <w:rFonts w:hint="eastAsia" w:ascii="仿宋_GB2312" w:hAnsi="仿宋_GB2312" w:eastAsia="仿宋_GB2312" w:cs="仿宋_GB2312"/>
                <w:color w:val="auto"/>
                <w:sz w:val="24"/>
                <w:lang w:val="en-US" w:eastAsia="zh-CN"/>
              </w:rPr>
              <w:t>95%以上，三公经费变动率</w:t>
            </w:r>
            <w:r>
              <w:rPr>
                <w:rFonts w:hint="default" w:ascii="Arial" w:hAnsi="Arial" w:eastAsia="仿宋_GB2312" w:cs="Arial"/>
                <w:color w:val="auto"/>
                <w:sz w:val="24"/>
                <w:lang w:val="en-US" w:eastAsia="zh-CN"/>
              </w:rPr>
              <w:t>≤</w:t>
            </w:r>
            <w:r>
              <w:rPr>
                <w:rFonts w:hint="eastAsia" w:ascii="仿宋_GB2312" w:hAnsi="仿宋_GB2312" w:eastAsia="仿宋_GB2312" w:cs="仿宋_GB2312"/>
                <w:color w:val="auto"/>
                <w:sz w:val="24"/>
                <w:lang w:val="en-US" w:eastAsia="zh-CN"/>
              </w:rPr>
              <w:t>0。</w:t>
            </w:r>
          </w:p>
          <w:p w14:paraId="25FB1E04">
            <w:pPr>
              <w:autoSpaceDN w:val="0"/>
              <w:spacing w:line="400" w:lineRule="exact"/>
              <w:jc w:val="left"/>
              <w:textAlignment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目标2：</w:t>
            </w:r>
            <w:r>
              <w:rPr>
                <w:rFonts w:hint="eastAsia" w:ascii="仿宋_GB2312" w:hAnsi="仿宋_GB2312" w:eastAsia="仿宋_GB2312" w:cs="仿宋_GB2312"/>
                <w:color w:val="auto"/>
                <w:sz w:val="24"/>
                <w:lang w:eastAsia="zh-CN"/>
              </w:rPr>
              <w:t>社会效益、经济效益、生态效益和社会公众满意度达到预期目标。</w:t>
            </w:r>
          </w:p>
          <w:p w14:paraId="3D8FD88D">
            <w:pPr>
              <w:autoSpaceDN w:val="0"/>
              <w:spacing w:line="320" w:lineRule="exact"/>
              <w:jc w:val="left"/>
              <w:textAlignment w:val="center"/>
              <w:rPr>
                <w:rFonts w:ascii="仿宋_GB2312" w:hAnsi="仿宋_GB2312" w:eastAsia="仿宋_GB2312" w:cs="仿宋_GB2312"/>
                <w:color w:val="auto"/>
                <w:sz w:val="24"/>
              </w:rPr>
            </w:pPr>
          </w:p>
        </w:tc>
        <w:tc>
          <w:tcPr>
            <w:tcW w:w="4740"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30550F8">
            <w:pPr>
              <w:autoSpaceDN w:val="0"/>
              <w:spacing w:line="400" w:lineRule="exact"/>
              <w:jc w:val="left"/>
              <w:textAlignment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目标1：</w:t>
            </w:r>
            <w:r>
              <w:rPr>
                <w:rFonts w:hint="eastAsia" w:ascii="仿宋_GB2312" w:hAnsi="仿宋_GB2312" w:eastAsia="仿宋_GB2312" w:cs="仿宋_GB2312"/>
                <w:color w:val="auto"/>
                <w:sz w:val="24"/>
                <w:lang w:eastAsia="zh-CN"/>
              </w:rPr>
              <w:t>全年预算申请到位和下达数量在</w:t>
            </w:r>
            <w:r>
              <w:rPr>
                <w:rFonts w:hint="eastAsia" w:ascii="仿宋_GB2312" w:hAnsi="仿宋_GB2312" w:eastAsia="仿宋_GB2312" w:cs="仿宋_GB2312"/>
                <w:color w:val="auto"/>
                <w:sz w:val="24"/>
                <w:lang w:val="en-US" w:eastAsia="zh-CN"/>
              </w:rPr>
              <w:t>95%以上，三公经费变动率</w:t>
            </w:r>
            <w:r>
              <w:rPr>
                <w:rFonts w:hint="default" w:ascii="Arial" w:hAnsi="Arial" w:eastAsia="仿宋_GB2312" w:cs="Arial"/>
                <w:color w:val="auto"/>
                <w:sz w:val="24"/>
                <w:lang w:val="en-US" w:eastAsia="zh-CN"/>
              </w:rPr>
              <w:t>≤</w:t>
            </w:r>
            <w:r>
              <w:rPr>
                <w:rFonts w:hint="eastAsia" w:ascii="仿宋_GB2312" w:hAnsi="仿宋_GB2312" w:eastAsia="仿宋_GB2312" w:cs="仿宋_GB2312"/>
                <w:color w:val="auto"/>
                <w:sz w:val="24"/>
                <w:lang w:val="en-US" w:eastAsia="zh-CN"/>
              </w:rPr>
              <w:t>0。</w:t>
            </w:r>
          </w:p>
          <w:p w14:paraId="1B5009B7">
            <w:pPr>
              <w:autoSpaceDN w:val="0"/>
              <w:spacing w:line="400" w:lineRule="exact"/>
              <w:jc w:val="left"/>
              <w:textAlignment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目标2：</w:t>
            </w:r>
            <w:r>
              <w:rPr>
                <w:rFonts w:hint="eastAsia" w:ascii="仿宋_GB2312" w:hAnsi="仿宋_GB2312" w:eastAsia="仿宋_GB2312" w:cs="仿宋_GB2312"/>
                <w:color w:val="auto"/>
                <w:sz w:val="24"/>
                <w:lang w:eastAsia="zh-CN"/>
              </w:rPr>
              <w:t>社会效益、经济效益、生态效益和社会公众满意度达到预期目标。</w:t>
            </w:r>
          </w:p>
          <w:p w14:paraId="71B8C3E9">
            <w:pPr>
              <w:autoSpaceDN w:val="0"/>
              <w:spacing w:line="400" w:lineRule="exact"/>
              <w:jc w:val="left"/>
              <w:textAlignment w:val="center"/>
              <w:rPr>
                <w:rFonts w:hint="eastAsia" w:ascii="仿宋_GB2312" w:hAnsi="仿宋_GB2312" w:eastAsia="仿宋_GB2312" w:cs="仿宋_GB2312"/>
                <w:color w:val="auto"/>
                <w:sz w:val="24"/>
                <w:lang w:val="en-US" w:eastAsia="zh-CN"/>
              </w:rPr>
            </w:pPr>
          </w:p>
          <w:p w14:paraId="6FE2A96E">
            <w:pPr>
              <w:autoSpaceDN w:val="0"/>
              <w:spacing w:line="320" w:lineRule="exact"/>
              <w:jc w:val="center"/>
              <w:textAlignment w:val="center"/>
              <w:rPr>
                <w:rFonts w:ascii="仿宋_GB2312" w:hAnsi="仿宋_GB2312" w:eastAsia="仿宋_GB2312" w:cs="仿宋_GB2312"/>
                <w:color w:val="auto"/>
                <w:sz w:val="24"/>
              </w:rPr>
            </w:pPr>
          </w:p>
        </w:tc>
      </w:tr>
      <w:tr w14:paraId="27316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862CA6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14:paraId="06B188D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0F16C0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5DA361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B730B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14:paraId="47B07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3AC9D2F">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23D395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14:paraId="7BB6223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3FD2B6F">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质量指标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BEC1CE">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三公经费控制率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D658FAC">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100%</w:t>
            </w:r>
          </w:p>
        </w:tc>
      </w:tr>
      <w:tr w14:paraId="1FA26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88731CB">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2F2FBC67">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C6F2695">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C6FD771">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指标2：</w:t>
            </w:r>
            <w:r>
              <w:rPr>
                <w:rFonts w:hint="eastAsia" w:ascii="仿宋" w:hAnsi="仿宋" w:eastAsia="仿宋" w:cs="仿宋"/>
                <w:b w:val="0"/>
                <w:bCs w:val="0"/>
                <w:color w:val="000000"/>
                <w:sz w:val="24"/>
                <w:szCs w:val="24"/>
                <w:lang w:eastAsia="zh-CN"/>
              </w:rPr>
              <w:t>政府采购执行率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4B22467">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14:paraId="53AE4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2E63ADE">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64A86BB4">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263788F">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FAC3838">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3：固定资产利用率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998ABEB">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14:paraId="63DA2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49B0C0E">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55C319FD">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0E87CD">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B7FF40">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4：公务卡刷卡率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D3D3C1">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14:paraId="23E37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9876E79">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7ADD7521">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5FD6035">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数量指标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20AF203">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财政供养人员控制率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E55A62">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100%</w:t>
            </w:r>
          </w:p>
        </w:tc>
      </w:tr>
      <w:tr w14:paraId="74E10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A177668">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2544A686">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0298DDC">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167A72F">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指标2：</w:t>
            </w:r>
            <w:r>
              <w:rPr>
                <w:rFonts w:hint="eastAsia" w:ascii="仿宋" w:hAnsi="仿宋" w:eastAsia="仿宋" w:cs="仿宋"/>
                <w:b w:val="0"/>
                <w:bCs w:val="0"/>
                <w:color w:val="000000"/>
                <w:sz w:val="24"/>
                <w:szCs w:val="24"/>
                <w:lang w:eastAsia="zh-CN"/>
              </w:rPr>
              <w:t>“三公经费”变动率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22B62B6">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w:t>
            </w:r>
            <w:r>
              <w:rPr>
                <w:rFonts w:hint="eastAsia" w:ascii="仿宋" w:hAnsi="仿宋" w:eastAsia="仿宋" w:cs="仿宋"/>
                <w:b w:val="0"/>
                <w:bCs w:val="0"/>
                <w:color w:val="000000"/>
                <w:sz w:val="24"/>
                <w:szCs w:val="24"/>
                <w:lang w:val="en-US" w:eastAsia="zh-CN"/>
              </w:rPr>
              <w:t>0</w:t>
            </w:r>
          </w:p>
        </w:tc>
      </w:tr>
      <w:tr w14:paraId="7C2DB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71196C1">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369E25F1">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D46403">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818890B">
            <w:pPr>
              <w:autoSpaceDN w:val="0"/>
              <w:spacing w:line="320" w:lineRule="exact"/>
              <w:jc w:val="left"/>
              <w:textAlignment w:val="center"/>
              <w:rPr>
                <w:rFonts w:hint="default"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3：小块承包完成率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5EA2C8">
            <w:pPr>
              <w:autoSpaceDN w:val="0"/>
              <w:spacing w:line="320" w:lineRule="exact"/>
              <w:jc w:val="center"/>
              <w:textAlignment w:val="center"/>
              <w:rPr>
                <w:rFonts w:hint="default"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98%</w:t>
            </w:r>
          </w:p>
        </w:tc>
      </w:tr>
      <w:tr w14:paraId="0FD294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69EDC14">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3A02B495">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094ED0E">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57ADF9C">
            <w:pPr>
              <w:autoSpaceDN w:val="0"/>
              <w:spacing w:line="320" w:lineRule="exact"/>
              <w:jc w:val="left"/>
              <w:textAlignment w:val="center"/>
              <w:rPr>
                <w:rFonts w:hint="default" w:ascii="仿宋" w:hAnsi="仿宋" w:eastAsia="仿宋" w:cs="仿宋"/>
                <w:b w:val="0"/>
                <w:bCs w:val="0"/>
                <w:color w:val="000000"/>
                <w:sz w:val="24"/>
                <w:szCs w:val="24"/>
                <w:lang w:val="en-US"/>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4：市容环境卫生面貌</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7AF4AAF">
            <w:pPr>
              <w:autoSpaceDN w:val="0"/>
              <w:spacing w:line="320" w:lineRule="exact"/>
              <w:jc w:val="center"/>
              <w:textAlignment w:val="center"/>
              <w:rPr>
                <w:rFonts w:hint="default"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良好</w:t>
            </w:r>
          </w:p>
        </w:tc>
      </w:tr>
      <w:tr w14:paraId="6E8C68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7D2CD07">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7D33F91C">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453D6D2">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2B52AB">
            <w:pPr>
              <w:autoSpaceDN w:val="0"/>
              <w:spacing w:line="320" w:lineRule="exact"/>
              <w:jc w:val="left"/>
              <w:textAlignment w:val="center"/>
              <w:rPr>
                <w:rFonts w:hint="default"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5：环境卫生服务水平</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02E70E">
            <w:pPr>
              <w:autoSpaceDN w:val="0"/>
              <w:spacing w:line="320" w:lineRule="exact"/>
              <w:jc w:val="center"/>
              <w:textAlignment w:val="center"/>
              <w:rPr>
                <w:rFonts w:hint="default"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良好</w:t>
            </w:r>
          </w:p>
        </w:tc>
      </w:tr>
      <w:tr w14:paraId="2A567E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4C6763B">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5FBCCABE">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4238A16">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时效指标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66A427">
            <w:pPr>
              <w:autoSpaceDN w:val="0"/>
              <w:spacing w:line="320" w:lineRule="exact"/>
              <w:jc w:val="left"/>
              <w:textAlignment w:val="center"/>
              <w:rPr>
                <w:rFonts w:hint="default"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val="en-US" w:eastAsia="zh-CN"/>
              </w:rPr>
              <w:t>城区垃圾清理及时率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B5629C7">
            <w:pPr>
              <w:autoSpaceDN w:val="0"/>
              <w:spacing w:line="320" w:lineRule="exact"/>
              <w:jc w:val="center"/>
              <w:textAlignment w:val="center"/>
              <w:rPr>
                <w:rFonts w:hint="default"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良好</w:t>
            </w:r>
          </w:p>
        </w:tc>
      </w:tr>
      <w:tr w14:paraId="527F21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8"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33F8F2E">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6BAF5CF5">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AFE1BA">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right w:val="single" w:color="000000" w:sz="4" w:space="0"/>
            </w:tcBorders>
            <w:tcMar>
              <w:top w:w="0" w:type="dxa"/>
              <w:left w:w="15" w:type="dxa"/>
              <w:bottom w:w="0" w:type="dxa"/>
              <w:right w:w="15" w:type="dxa"/>
            </w:tcMar>
            <w:vAlign w:val="center"/>
          </w:tcPr>
          <w:p w14:paraId="65C46038">
            <w:pPr>
              <w:autoSpaceDN w:val="0"/>
              <w:spacing w:line="320" w:lineRule="exact"/>
              <w:jc w:val="left"/>
              <w:textAlignment w:val="center"/>
              <w:rPr>
                <w:rFonts w:hint="default"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指标2：</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9BF7A97">
            <w:pPr>
              <w:autoSpaceDN w:val="0"/>
              <w:spacing w:line="320" w:lineRule="exact"/>
              <w:jc w:val="center"/>
              <w:textAlignment w:val="center"/>
              <w:rPr>
                <w:rFonts w:hint="eastAsia" w:ascii="仿宋" w:hAnsi="仿宋" w:eastAsia="仿宋" w:cs="仿宋"/>
                <w:b w:val="0"/>
                <w:bCs w:val="0"/>
                <w:color w:val="auto"/>
                <w:sz w:val="24"/>
                <w:szCs w:val="24"/>
              </w:rPr>
            </w:pPr>
          </w:p>
        </w:tc>
      </w:tr>
      <w:tr w14:paraId="3B215E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2107976">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678C0DC0">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B2B7E55">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成本指标</w:t>
            </w:r>
          </w:p>
        </w:tc>
        <w:tc>
          <w:tcPr>
            <w:tcW w:w="2709" w:type="dxa"/>
            <w:gridSpan w:val="4"/>
            <w:tcBorders>
              <w:top w:val="single" w:color="000000" w:sz="4" w:space="0"/>
              <w:left w:val="single" w:color="000000" w:sz="4" w:space="0"/>
              <w:right w:val="single" w:color="000000" w:sz="4" w:space="0"/>
            </w:tcBorders>
            <w:tcMar>
              <w:top w:w="0" w:type="dxa"/>
              <w:left w:w="15" w:type="dxa"/>
              <w:bottom w:w="0" w:type="dxa"/>
              <w:right w:w="15" w:type="dxa"/>
            </w:tcMar>
            <w:vAlign w:val="center"/>
          </w:tcPr>
          <w:p w14:paraId="7815C439">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部门整体支出绩效目标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C521FE3">
            <w:pPr>
              <w:autoSpaceDN w:val="0"/>
              <w:spacing w:line="320" w:lineRule="exact"/>
              <w:jc w:val="center"/>
              <w:textAlignment w:val="center"/>
              <w:rPr>
                <w:rFonts w:hint="default" w:ascii="仿宋" w:hAnsi="仿宋" w:eastAsia="仿宋" w:cs="仿宋"/>
                <w:b w:val="0"/>
                <w:bCs w:val="0"/>
                <w:color w:val="FF0000"/>
                <w:sz w:val="24"/>
                <w:szCs w:val="24"/>
                <w:lang w:val="en-US" w:eastAsia="zh-CN"/>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4137.96</w:t>
            </w:r>
          </w:p>
        </w:tc>
      </w:tr>
      <w:tr w14:paraId="51245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5"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1183711">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B89ABB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14:paraId="30A8C8E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3D96AE7">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社会效益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52FA152">
            <w:pPr>
              <w:autoSpaceDN w:val="0"/>
              <w:spacing w:line="320" w:lineRule="exact"/>
              <w:jc w:val="left"/>
              <w:textAlignment w:val="center"/>
              <w:rPr>
                <w:rFonts w:hint="default"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val="en-US" w:eastAsia="zh-CN"/>
              </w:rPr>
              <w:t>县城环境卫生质量，环卫服务水平</w:t>
            </w:r>
          </w:p>
          <w:p w14:paraId="52C60DAE">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F51C065">
            <w:pPr>
              <w:autoSpaceDN w:val="0"/>
              <w:spacing w:line="320" w:lineRule="exact"/>
              <w:jc w:val="center"/>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lang w:eastAsia="zh-CN"/>
              </w:rPr>
              <w:t>效益明显</w:t>
            </w:r>
          </w:p>
        </w:tc>
      </w:tr>
      <w:tr w14:paraId="37500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3D18EB6">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6740D669">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C56C47">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经济效益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DCE7212">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指标1：严控非生产性开支，严肃财务纪律，遵守财经制度，规范财务报账手续，实现经济效益最大化牌创造的经济效益</w:t>
            </w:r>
          </w:p>
          <w:p w14:paraId="6DBACD0F">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2206AC1">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效益明显</w:t>
            </w:r>
          </w:p>
        </w:tc>
      </w:tr>
      <w:tr w14:paraId="510E2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3C151820">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321CF4F4">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0090A46">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生态效益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9420FC7">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val="en-US" w:eastAsia="zh-CN"/>
              </w:rPr>
              <w:t>杜绝城区白色垃圾</w:t>
            </w:r>
            <w:r>
              <w:rPr>
                <w:rFonts w:hint="eastAsia" w:ascii="仿宋" w:hAnsi="仿宋" w:eastAsia="仿宋" w:cs="仿宋"/>
                <w:b w:val="0"/>
                <w:bCs w:val="0"/>
                <w:color w:val="000000"/>
                <w:sz w:val="24"/>
                <w:szCs w:val="24"/>
              </w:rPr>
              <w:t>、</w:t>
            </w:r>
            <w:r>
              <w:rPr>
                <w:rFonts w:hint="eastAsia" w:ascii="仿宋" w:hAnsi="仿宋" w:eastAsia="仿宋" w:cs="仿宋"/>
                <w:b w:val="0"/>
                <w:bCs w:val="0"/>
                <w:color w:val="000000"/>
                <w:sz w:val="24"/>
                <w:szCs w:val="24"/>
                <w:lang w:val="en-US" w:eastAsia="zh-CN"/>
              </w:rPr>
              <w:t>提高环境卫生质量，</w:t>
            </w:r>
            <w:r>
              <w:rPr>
                <w:rFonts w:hint="eastAsia" w:ascii="仿宋" w:hAnsi="仿宋" w:eastAsia="仿宋" w:cs="仿宋"/>
                <w:b w:val="0"/>
                <w:bCs w:val="0"/>
                <w:color w:val="000000"/>
                <w:sz w:val="24"/>
                <w:szCs w:val="24"/>
              </w:rPr>
              <w:t>提</w:t>
            </w:r>
            <w:r>
              <w:rPr>
                <w:rFonts w:hint="eastAsia" w:ascii="仿宋" w:hAnsi="仿宋" w:eastAsia="仿宋" w:cs="仿宋"/>
                <w:b w:val="0"/>
                <w:bCs w:val="0"/>
                <w:color w:val="000000"/>
                <w:sz w:val="24"/>
                <w:szCs w:val="24"/>
                <w:lang w:val="en-US" w:eastAsia="zh-CN"/>
              </w:rPr>
              <w:t>升</w:t>
            </w:r>
            <w:r>
              <w:rPr>
                <w:rFonts w:hint="eastAsia" w:ascii="仿宋" w:hAnsi="仿宋" w:eastAsia="仿宋" w:cs="仿宋"/>
                <w:b w:val="0"/>
                <w:bCs w:val="0"/>
                <w:color w:val="000000"/>
                <w:sz w:val="24"/>
                <w:szCs w:val="24"/>
              </w:rPr>
              <w:t>人文居住环境</w:t>
            </w:r>
          </w:p>
          <w:p w14:paraId="33EA3CE8">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3F41CD">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效益明显</w:t>
            </w:r>
          </w:p>
        </w:tc>
      </w:tr>
      <w:tr w14:paraId="57569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326CCA80">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14:paraId="1606AEA9">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FD23BA">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社会公众或服务对象满意度</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2A83233">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社会公众满意度</w:t>
            </w:r>
          </w:p>
          <w:p w14:paraId="727D9282">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0D0314">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95%以上</w:t>
            </w:r>
          </w:p>
        </w:tc>
      </w:tr>
      <w:tr w14:paraId="0DAF2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C84CB4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965"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6121D1B">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97分</w:t>
            </w:r>
          </w:p>
        </w:tc>
      </w:tr>
      <w:tr w14:paraId="31E9D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809AD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965"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4DFDCE0">
            <w:pPr>
              <w:autoSpaceDN w:val="0"/>
              <w:spacing w:line="320" w:lineRule="exact"/>
              <w:jc w:val="center"/>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lang w:eastAsia="zh-CN"/>
              </w:rPr>
              <w:t>优秀</w:t>
            </w:r>
          </w:p>
        </w:tc>
      </w:tr>
      <w:tr w14:paraId="37A18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F9167FF">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14:paraId="60819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9451A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97A2F8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97AA30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D4A1B6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14:paraId="0D528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7B5BE94">
            <w:pPr>
              <w:autoSpaceDN w:val="0"/>
              <w:spacing w:line="40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郝元满</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4290EC8">
            <w:pPr>
              <w:autoSpaceDN w:val="0"/>
              <w:spacing w:line="40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ECCF32">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岳阳县市容环境卫生服务中心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3DCB64">
            <w:pPr>
              <w:autoSpaceDN w:val="0"/>
              <w:spacing w:line="320" w:lineRule="exact"/>
              <w:jc w:val="center"/>
              <w:textAlignment w:val="center"/>
              <w:rPr>
                <w:rFonts w:ascii="仿宋_GB2312" w:hAnsi="仿宋_GB2312" w:eastAsia="仿宋_GB2312" w:cs="仿宋_GB2312"/>
                <w:color w:val="000000"/>
                <w:sz w:val="24"/>
              </w:rPr>
            </w:pPr>
          </w:p>
        </w:tc>
      </w:tr>
      <w:tr w14:paraId="34DEE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867BB7F">
            <w:pPr>
              <w:autoSpaceDN w:val="0"/>
              <w:spacing w:line="40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刘志华</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12259B8">
            <w:pPr>
              <w:autoSpaceDN w:val="0"/>
              <w:spacing w:line="400" w:lineRule="exact"/>
              <w:jc w:val="center"/>
              <w:textAlignment w:val="center"/>
              <w:rPr>
                <w:rFonts w:hint="default" w:ascii="仿宋_GB2312" w:hAnsi="仿宋_GB2312" w:eastAsia="仿宋_GB2312" w:cs="仿宋_GB2312"/>
                <w:color w:val="000000"/>
                <w:sz w:val="24"/>
                <w:lang w:val="en-US"/>
              </w:rPr>
            </w:pPr>
            <w:r>
              <w:rPr>
                <w:rFonts w:hint="eastAsia" w:ascii="仿宋_GB2312" w:hAnsi="仿宋_GB2312" w:eastAsia="仿宋_GB2312" w:cs="仿宋_GB2312"/>
                <w:color w:val="000000"/>
                <w:sz w:val="24"/>
                <w:lang w:val="en-US" w:eastAsia="zh-CN"/>
              </w:rPr>
              <w:t>党支部书记</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A0E4C8">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岳阳县市容环境卫生服务中心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52B2876">
            <w:pPr>
              <w:autoSpaceDN w:val="0"/>
              <w:spacing w:line="320" w:lineRule="exact"/>
              <w:jc w:val="center"/>
              <w:textAlignment w:val="center"/>
              <w:rPr>
                <w:rFonts w:ascii="仿宋_GB2312" w:hAnsi="仿宋_GB2312" w:eastAsia="仿宋_GB2312" w:cs="仿宋_GB2312"/>
                <w:color w:val="000000"/>
                <w:sz w:val="24"/>
              </w:rPr>
            </w:pPr>
          </w:p>
        </w:tc>
      </w:tr>
      <w:tr w14:paraId="3675D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4B924AF">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荣坤</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71E8E7E">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办公室主任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C641AB">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岳阳县市容环境卫生服务中心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81ED3FF">
            <w:pPr>
              <w:autoSpaceDN w:val="0"/>
              <w:spacing w:line="320" w:lineRule="exact"/>
              <w:jc w:val="center"/>
              <w:textAlignment w:val="center"/>
              <w:rPr>
                <w:rFonts w:ascii="仿宋_GB2312" w:hAnsi="仿宋_GB2312" w:eastAsia="仿宋_GB2312" w:cs="仿宋_GB2312"/>
                <w:color w:val="000000"/>
                <w:sz w:val="24"/>
              </w:rPr>
            </w:pPr>
          </w:p>
        </w:tc>
      </w:tr>
      <w:tr w14:paraId="172FE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07427B3">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刘荣方</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5026310">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机关支部纪检委员</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F80C513">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岳阳县市容环境卫生服务中心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1C593B">
            <w:pPr>
              <w:autoSpaceDN w:val="0"/>
              <w:spacing w:line="320" w:lineRule="exact"/>
              <w:jc w:val="center"/>
              <w:textAlignment w:val="center"/>
              <w:rPr>
                <w:rFonts w:ascii="仿宋_GB2312" w:hAnsi="仿宋_GB2312" w:eastAsia="仿宋_GB2312" w:cs="仿宋_GB2312"/>
                <w:color w:val="000000"/>
                <w:sz w:val="24"/>
              </w:rPr>
            </w:pPr>
          </w:p>
        </w:tc>
      </w:tr>
      <w:tr w14:paraId="368991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02C6C5F">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侯朝霞</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332DF23">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财务股长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1536C93">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岳阳县市容环境卫生服务中心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B88C153">
            <w:pPr>
              <w:autoSpaceDN w:val="0"/>
              <w:spacing w:line="320" w:lineRule="exact"/>
              <w:jc w:val="center"/>
              <w:textAlignment w:val="center"/>
              <w:rPr>
                <w:rFonts w:ascii="仿宋_GB2312" w:hAnsi="仿宋_GB2312" w:eastAsia="仿宋_GB2312" w:cs="仿宋_GB2312"/>
                <w:color w:val="000000"/>
                <w:sz w:val="24"/>
              </w:rPr>
            </w:pPr>
          </w:p>
        </w:tc>
      </w:tr>
      <w:tr w14:paraId="2C514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4"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7B7AA48">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14:paraId="1A063BB8">
            <w:pPr>
              <w:autoSpaceDN w:val="0"/>
              <w:spacing w:line="320" w:lineRule="exact"/>
              <w:jc w:val="left"/>
              <w:textAlignment w:val="center"/>
              <w:rPr>
                <w:rFonts w:ascii="仿宋_GB2312" w:hAnsi="仿宋_GB2312" w:eastAsia="仿宋_GB2312" w:cs="仿宋_GB2312"/>
                <w:color w:val="000000"/>
                <w:sz w:val="24"/>
              </w:rPr>
            </w:pPr>
          </w:p>
          <w:p w14:paraId="2C248028">
            <w:pPr>
              <w:autoSpaceDN w:val="0"/>
              <w:spacing w:line="320" w:lineRule="exact"/>
              <w:jc w:val="left"/>
              <w:textAlignment w:val="center"/>
              <w:rPr>
                <w:rFonts w:ascii="仿宋_GB2312" w:hAnsi="仿宋_GB2312" w:eastAsia="仿宋_GB2312" w:cs="仿宋_GB2312"/>
                <w:color w:val="000000"/>
                <w:sz w:val="24"/>
              </w:rPr>
            </w:pPr>
          </w:p>
          <w:p w14:paraId="580FBF94">
            <w:pPr>
              <w:autoSpaceDN w:val="0"/>
              <w:spacing w:line="320" w:lineRule="exact"/>
              <w:jc w:val="left"/>
              <w:textAlignment w:val="center"/>
              <w:rPr>
                <w:rFonts w:ascii="仿宋_GB2312" w:hAnsi="仿宋_GB2312" w:eastAsia="仿宋_GB2312" w:cs="仿宋_GB2312"/>
                <w:color w:val="000000"/>
                <w:sz w:val="24"/>
              </w:rPr>
            </w:pPr>
          </w:p>
          <w:p w14:paraId="30323632">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同意以上自评意见</w:t>
            </w:r>
          </w:p>
          <w:p w14:paraId="4FC95B4A">
            <w:pPr>
              <w:autoSpaceDN w:val="0"/>
              <w:spacing w:line="320" w:lineRule="exact"/>
              <w:jc w:val="left"/>
              <w:textAlignment w:val="center"/>
              <w:rPr>
                <w:rFonts w:ascii="仿宋_GB2312" w:hAnsi="仿宋_GB2312" w:eastAsia="仿宋_GB2312" w:cs="仿宋_GB2312"/>
                <w:color w:val="000000"/>
                <w:sz w:val="24"/>
              </w:rPr>
            </w:pPr>
          </w:p>
          <w:p w14:paraId="4ECED9DB">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14:paraId="7FE50D2C">
            <w:pPr>
              <w:autoSpaceDN w:val="0"/>
              <w:spacing w:line="320" w:lineRule="exact"/>
              <w:jc w:val="left"/>
              <w:textAlignment w:val="center"/>
              <w:rPr>
                <w:rFonts w:ascii="仿宋_GB2312" w:hAnsi="仿宋_GB2312" w:eastAsia="仿宋_GB2312" w:cs="仿宋_GB2312"/>
                <w:color w:val="000000"/>
                <w:sz w:val="24"/>
              </w:rPr>
            </w:pPr>
          </w:p>
          <w:p w14:paraId="6649FBD0">
            <w:pPr>
              <w:autoSpaceDN w:val="0"/>
              <w:spacing w:line="320" w:lineRule="exact"/>
              <w:jc w:val="left"/>
              <w:textAlignment w:val="center"/>
              <w:rPr>
                <w:rFonts w:ascii="仿宋_GB2312" w:hAnsi="仿宋_GB2312" w:eastAsia="仿宋_GB2312" w:cs="仿宋_GB2312"/>
                <w:color w:val="000000"/>
                <w:sz w:val="24"/>
              </w:rPr>
            </w:pPr>
          </w:p>
          <w:p w14:paraId="76E6E085">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14:paraId="7340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69"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4B4A76">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14:paraId="04366C4D">
            <w:pPr>
              <w:autoSpaceDN w:val="0"/>
              <w:spacing w:line="320" w:lineRule="exact"/>
              <w:jc w:val="left"/>
              <w:textAlignment w:val="center"/>
              <w:rPr>
                <w:rFonts w:ascii="仿宋_GB2312" w:hAnsi="仿宋_GB2312" w:eastAsia="仿宋_GB2312" w:cs="仿宋_GB2312"/>
                <w:color w:val="000000"/>
                <w:sz w:val="24"/>
              </w:rPr>
            </w:pPr>
          </w:p>
          <w:p w14:paraId="6CE2898C">
            <w:pPr>
              <w:autoSpaceDN w:val="0"/>
              <w:spacing w:line="320" w:lineRule="exact"/>
              <w:jc w:val="left"/>
              <w:textAlignment w:val="center"/>
              <w:rPr>
                <w:rFonts w:ascii="仿宋_GB2312" w:hAnsi="仿宋_GB2312" w:eastAsia="仿宋_GB2312" w:cs="仿宋_GB2312"/>
                <w:color w:val="000000"/>
                <w:sz w:val="24"/>
              </w:rPr>
            </w:pPr>
          </w:p>
          <w:p w14:paraId="6423ABC1">
            <w:pPr>
              <w:autoSpaceDN w:val="0"/>
              <w:spacing w:line="320" w:lineRule="exact"/>
              <w:jc w:val="left"/>
              <w:textAlignment w:val="center"/>
              <w:rPr>
                <w:rFonts w:ascii="仿宋_GB2312" w:hAnsi="仿宋_GB2312" w:eastAsia="仿宋_GB2312" w:cs="仿宋_GB2312"/>
                <w:color w:val="000000"/>
                <w:sz w:val="24"/>
              </w:rPr>
            </w:pPr>
          </w:p>
          <w:p w14:paraId="2A2F3AC8">
            <w:pPr>
              <w:autoSpaceDN w:val="0"/>
              <w:spacing w:line="320" w:lineRule="exact"/>
              <w:jc w:val="left"/>
              <w:textAlignment w:val="center"/>
              <w:rPr>
                <w:rFonts w:ascii="仿宋_GB2312" w:hAnsi="仿宋_GB2312" w:eastAsia="仿宋_GB2312" w:cs="仿宋_GB2312"/>
                <w:color w:val="000000"/>
                <w:sz w:val="24"/>
              </w:rPr>
            </w:pPr>
          </w:p>
          <w:p w14:paraId="72BA55D0">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zh-CN"/>
              </w:rPr>
              <w:t>同意以上自评意见</w:t>
            </w:r>
          </w:p>
          <w:p w14:paraId="47A3328E">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14:paraId="09A7B4CF">
            <w:pPr>
              <w:autoSpaceDN w:val="0"/>
              <w:spacing w:line="320" w:lineRule="exact"/>
              <w:jc w:val="left"/>
              <w:textAlignment w:val="center"/>
              <w:rPr>
                <w:rFonts w:ascii="仿宋_GB2312" w:hAnsi="仿宋_GB2312" w:eastAsia="仿宋_GB2312" w:cs="仿宋_GB2312"/>
                <w:color w:val="000000"/>
                <w:sz w:val="24"/>
              </w:rPr>
            </w:pPr>
          </w:p>
          <w:p w14:paraId="7D86AE7B">
            <w:pPr>
              <w:autoSpaceDN w:val="0"/>
              <w:spacing w:line="320" w:lineRule="exact"/>
              <w:jc w:val="left"/>
              <w:textAlignment w:val="center"/>
              <w:rPr>
                <w:rFonts w:ascii="仿宋_GB2312" w:hAnsi="仿宋_GB2312" w:eastAsia="仿宋_GB2312" w:cs="仿宋_GB2312"/>
                <w:color w:val="000000"/>
                <w:sz w:val="24"/>
              </w:rPr>
            </w:pPr>
          </w:p>
          <w:p w14:paraId="27194A0D">
            <w:pPr>
              <w:autoSpaceDN w:val="0"/>
              <w:spacing w:line="320" w:lineRule="exact"/>
              <w:jc w:val="left"/>
              <w:textAlignment w:val="center"/>
              <w:rPr>
                <w:rFonts w:ascii="仿宋_GB2312" w:hAnsi="仿宋_GB2312" w:eastAsia="仿宋_GB2312" w:cs="仿宋_GB2312"/>
                <w:color w:val="000000"/>
                <w:sz w:val="24"/>
              </w:rPr>
            </w:pPr>
          </w:p>
          <w:p w14:paraId="13F62A9A">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14:paraId="483DBFAE">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14:paraId="17017CC7">
      <w:pPr>
        <w:rPr>
          <w:rFonts w:hint="default" w:eastAsia="仿宋_GB2312" w:cs="仿宋_GB2312"/>
          <w:bCs/>
          <w:sz w:val="28"/>
          <w:szCs w:val="28"/>
          <w:lang w:val="en-US" w:eastAsia="zh-CN"/>
        </w:rPr>
      </w:pPr>
      <w:r>
        <w:rPr>
          <w:rFonts w:hint="eastAsia" w:eastAsia="仿宋_GB2312" w:cs="仿宋_GB2312"/>
          <w:bCs/>
          <w:sz w:val="28"/>
          <w:szCs w:val="28"/>
        </w:rPr>
        <w:t>填报人（签名）：</w:t>
      </w:r>
      <w:r>
        <w:rPr>
          <w:rFonts w:eastAsia="仿宋_GB2312" w:cs="仿宋_GB2312"/>
          <w:bCs/>
          <w:sz w:val="28"/>
          <w:szCs w:val="28"/>
        </w:rPr>
        <w:t xml:space="preserve"> </w:t>
      </w:r>
      <w:r>
        <w:rPr>
          <w:rFonts w:hint="eastAsia" w:eastAsia="仿宋_GB2312" w:cs="仿宋_GB2312"/>
          <w:bCs/>
          <w:sz w:val="28"/>
          <w:szCs w:val="28"/>
          <w:lang w:eastAsia="zh-CN"/>
        </w:rPr>
        <w:t>侯朝霞</w:t>
      </w:r>
      <w:r>
        <w:rPr>
          <w:rFonts w:eastAsia="仿宋_GB2312" w:cs="仿宋_GB2312"/>
          <w:bCs/>
          <w:sz w:val="28"/>
          <w:szCs w:val="28"/>
        </w:rPr>
        <w:t xml:space="preserve">         </w:t>
      </w:r>
      <w:r>
        <w:rPr>
          <w:rFonts w:hint="eastAsia" w:eastAsia="仿宋_GB2312" w:cs="仿宋_GB2312"/>
          <w:bCs/>
          <w:sz w:val="28"/>
          <w:szCs w:val="28"/>
          <w:lang w:val="en-US" w:eastAsia="zh-CN"/>
        </w:rPr>
        <w:t xml:space="preserve">   </w:t>
      </w:r>
      <w:r>
        <w:rPr>
          <w:rFonts w:eastAsia="仿宋_GB2312" w:cs="仿宋_GB2312"/>
          <w:bCs/>
          <w:sz w:val="28"/>
          <w:szCs w:val="28"/>
        </w:rPr>
        <w:t xml:space="preserve"> </w:t>
      </w:r>
      <w:r>
        <w:rPr>
          <w:rFonts w:hint="eastAsia" w:eastAsia="仿宋_GB2312" w:cs="仿宋_GB2312"/>
          <w:bCs/>
          <w:sz w:val="28"/>
          <w:szCs w:val="28"/>
        </w:rPr>
        <w:t>联系电话：</w:t>
      </w:r>
      <w:r>
        <w:rPr>
          <w:rFonts w:hint="eastAsia" w:ascii="仿宋_GB2312" w:hAnsi="仿宋_GB2312" w:eastAsia="仿宋_GB2312" w:cs="仿宋_GB2312"/>
          <w:color w:val="000000"/>
          <w:sz w:val="24"/>
          <w:lang w:val="en-US" w:eastAsia="zh-CN"/>
        </w:rPr>
        <w:t>07307621324</w:t>
      </w:r>
    </w:p>
    <w:tbl>
      <w:tblPr>
        <w:tblStyle w:val="3"/>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14:paraId="61D4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14:paraId="0FFBEA85">
            <w:pPr>
              <w:keepNext w:val="0"/>
              <w:keepLines w:val="0"/>
              <w:pageBreakBefore w:val="0"/>
              <w:numPr>
                <w:ilvl w:val="0"/>
                <w:numId w:val="1"/>
              </w:numPr>
              <w:kinsoku/>
              <w:wordWrap/>
              <w:overflowPunct/>
              <w:topLinePunct w:val="0"/>
              <w:autoSpaceDE/>
              <w:bidi w:val="0"/>
              <w:adjustRightInd/>
              <w:snapToGrid/>
              <w:spacing w:line="460" w:lineRule="exact"/>
              <w:jc w:val="center"/>
              <w:rPr>
                <w:rFonts w:hint="eastAsia" w:ascii="黑体" w:hAnsi="黑体" w:eastAsia="黑体" w:cs="黑体"/>
                <w:bCs/>
                <w:sz w:val="28"/>
                <w:szCs w:val="28"/>
              </w:rPr>
            </w:pPr>
            <w:r>
              <w:rPr>
                <w:rFonts w:hint="eastAsia" w:ascii="黑体" w:hAnsi="黑体" w:eastAsia="黑体" w:cs="黑体"/>
                <w:bCs/>
                <w:sz w:val="28"/>
                <w:szCs w:val="28"/>
              </w:rPr>
              <w:t>评价报告综述（文字部分）</w:t>
            </w:r>
          </w:p>
          <w:p w14:paraId="4202D62C">
            <w:pPr>
              <w:keepNext w:val="0"/>
              <w:keepLines w:val="0"/>
              <w:pageBreakBefore w:val="0"/>
              <w:numPr>
                <w:ilvl w:val="0"/>
                <w:numId w:val="0"/>
              </w:numPr>
              <w:kinsoku/>
              <w:wordWrap/>
              <w:overflowPunct/>
              <w:topLinePunct w:val="0"/>
              <w:autoSpaceDE/>
              <w:bidi w:val="0"/>
              <w:adjustRightInd/>
              <w:snapToGrid/>
              <w:spacing w:line="460" w:lineRule="exact"/>
              <w:ind w:firstLine="2891" w:firstLineChars="900"/>
              <w:jc w:val="both"/>
              <w:rPr>
                <w:rFonts w:hint="eastAsia" w:ascii="仿宋" w:hAnsi="仿宋" w:eastAsia="仿宋" w:cs="仿宋"/>
                <w:bCs/>
                <w:sz w:val="32"/>
                <w:szCs w:val="32"/>
                <w:lang w:val="en-US" w:eastAsia="zh-CN"/>
              </w:rPr>
            </w:pPr>
            <w:r>
              <w:rPr>
                <w:rFonts w:hint="eastAsia" w:ascii="仿宋" w:hAnsi="仿宋" w:eastAsia="仿宋" w:cs="仿宋"/>
                <w:b/>
                <w:bCs/>
                <w:sz w:val="32"/>
                <w:szCs w:val="32"/>
                <w:lang w:val="en-US" w:eastAsia="zh-CN"/>
              </w:rPr>
              <w:t>2023年评价报告综述</w:t>
            </w:r>
          </w:p>
          <w:p w14:paraId="13FE9E14">
            <w:pPr>
              <w:pStyle w:val="2"/>
              <w:widowControl/>
              <w:spacing w:before="0" w:beforeAutospacing="0" w:after="0" w:afterAutospacing="0" w:line="33" w:lineRule="atLeast"/>
              <w:ind w:firstLine="643" w:firstLineChars="200"/>
              <w:jc w:val="both"/>
              <w:rPr>
                <w:rFonts w:hint="default"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一、基本情况：</w:t>
            </w:r>
          </w:p>
          <w:p w14:paraId="572ED033">
            <w:pPr>
              <w:pStyle w:val="2"/>
              <w:widowControl/>
              <w:spacing w:before="0" w:beforeAutospacing="0" w:after="0" w:afterAutospacing="0" w:line="33" w:lineRule="atLeast"/>
              <w:ind w:firstLine="640" w:firstLineChars="200"/>
              <w:jc w:val="both"/>
              <w:rPr>
                <w:rFonts w:hint="eastAsia" w:ascii="仿宋" w:hAnsi="仿宋" w:eastAsia="仿宋" w:cs="仿宋"/>
                <w:color w:val="FF0000"/>
                <w:sz w:val="32"/>
                <w:szCs w:val="32"/>
              </w:rPr>
            </w:pPr>
            <w:r>
              <w:rPr>
                <w:rFonts w:hint="eastAsia" w:ascii="仿宋" w:hAnsi="仿宋" w:eastAsia="仿宋" w:cs="仿宋"/>
                <w:kern w:val="2"/>
                <w:sz w:val="32"/>
                <w:szCs w:val="32"/>
                <w:lang w:val="en-US" w:eastAsia="zh-CN" w:bidi="ar-SA"/>
              </w:rPr>
              <w:t>岳阳县市容环境卫生服务中心属岳阳县城市管理和综合执法局下设二级机构，为副科级事业单位。</w:t>
            </w:r>
            <w:r>
              <w:rPr>
                <w:rFonts w:hint="eastAsia" w:ascii="仿宋" w:hAnsi="仿宋" w:eastAsia="仿宋" w:cs="仿宋"/>
                <w:sz w:val="32"/>
                <w:szCs w:val="32"/>
              </w:rPr>
              <w:t>现有干部职工</w:t>
            </w:r>
            <w:r>
              <w:rPr>
                <w:rFonts w:hint="eastAsia" w:ascii="仿宋" w:hAnsi="仿宋" w:eastAsia="仿宋" w:cs="仿宋"/>
                <w:color w:val="auto"/>
                <w:sz w:val="32"/>
                <w:szCs w:val="32"/>
                <w:lang w:val="en-US" w:eastAsia="zh-CN"/>
              </w:rPr>
              <w:t>555</w:t>
            </w:r>
            <w:r>
              <w:rPr>
                <w:rFonts w:hint="eastAsia" w:ascii="仿宋" w:hAnsi="仿宋" w:eastAsia="仿宋" w:cs="仿宋"/>
                <w:color w:val="auto"/>
                <w:sz w:val="32"/>
                <w:szCs w:val="32"/>
              </w:rPr>
              <w:t>人，其中</w:t>
            </w:r>
            <w:r>
              <w:rPr>
                <w:rFonts w:hint="eastAsia" w:ascii="仿宋" w:hAnsi="仿宋" w:eastAsia="仿宋" w:cs="仿宋"/>
                <w:color w:val="auto"/>
                <w:sz w:val="32"/>
                <w:szCs w:val="32"/>
                <w:lang w:eastAsia="zh-CN"/>
              </w:rPr>
              <w:t>有编</w:t>
            </w:r>
            <w:r>
              <w:rPr>
                <w:rFonts w:hint="eastAsia" w:ascii="仿宋" w:hAnsi="仿宋" w:eastAsia="仿宋" w:cs="仿宋"/>
                <w:color w:val="auto"/>
                <w:sz w:val="32"/>
                <w:szCs w:val="32"/>
              </w:rPr>
              <w:t>人员</w:t>
            </w:r>
            <w:r>
              <w:rPr>
                <w:rFonts w:hint="eastAsia" w:ascii="仿宋" w:hAnsi="仿宋" w:eastAsia="仿宋" w:cs="仿宋"/>
                <w:color w:val="auto"/>
                <w:sz w:val="32"/>
                <w:szCs w:val="32"/>
                <w:lang w:val="en-US" w:eastAsia="zh-CN"/>
              </w:rPr>
              <w:t>24</w:t>
            </w:r>
            <w:r>
              <w:rPr>
                <w:rFonts w:hint="eastAsia" w:ascii="仿宋" w:hAnsi="仿宋" w:eastAsia="仿宋" w:cs="仿宋"/>
                <w:color w:val="auto"/>
                <w:sz w:val="32"/>
                <w:szCs w:val="32"/>
              </w:rPr>
              <w:t>人，</w:t>
            </w:r>
            <w:r>
              <w:rPr>
                <w:rFonts w:hint="eastAsia" w:ascii="仿宋" w:hAnsi="仿宋" w:eastAsia="仿宋" w:cs="仿宋"/>
                <w:color w:val="auto"/>
                <w:sz w:val="32"/>
                <w:szCs w:val="32"/>
                <w:lang w:eastAsia="zh-CN"/>
              </w:rPr>
              <w:t>其他人员</w:t>
            </w:r>
            <w:r>
              <w:rPr>
                <w:rFonts w:hint="eastAsia" w:ascii="仿宋" w:hAnsi="仿宋" w:eastAsia="仿宋" w:cs="仿宋"/>
                <w:color w:val="auto"/>
                <w:sz w:val="32"/>
                <w:szCs w:val="32"/>
                <w:lang w:val="en-US" w:eastAsia="zh-CN"/>
              </w:rPr>
              <w:t>531人</w:t>
            </w:r>
            <w:r>
              <w:rPr>
                <w:rFonts w:hint="eastAsia" w:ascii="仿宋" w:hAnsi="仿宋" w:eastAsia="仿宋" w:cs="仿宋"/>
                <w:color w:val="auto"/>
                <w:sz w:val="32"/>
                <w:szCs w:val="32"/>
              </w:rPr>
              <w:t>。</w:t>
            </w:r>
            <w:r>
              <w:rPr>
                <w:rFonts w:hint="eastAsia" w:ascii="仿宋" w:hAnsi="仿宋" w:eastAsia="仿宋" w:cs="仿宋"/>
                <w:b w:val="0"/>
                <w:bCs w:val="0"/>
                <w:color w:val="auto"/>
                <w:kern w:val="2"/>
                <w:sz w:val="32"/>
                <w:szCs w:val="32"/>
                <w:lang w:val="en-US" w:eastAsia="zh-CN" w:bidi="ar-SA"/>
              </w:rPr>
              <w:t>内设10个股室，分</w:t>
            </w:r>
            <w:r>
              <w:rPr>
                <w:rFonts w:hint="eastAsia" w:ascii="仿宋" w:hAnsi="仿宋" w:eastAsia="仿宋" w:cs="仿宋"/>
                <w:b w:val="0"/>
                <w:bCs w:val="0"/>
                <w:kern w:val="2"/>
                <w:sz w:val="32"/>
                <w:szCs w:val="32"/>
                <w:lang w:val="en-US" w:eastAsia="zh-CN" w:bidi="ar-SA"/>
              </w:rPr>
              <w:t>别是:综合办公室、财务室、清扫中心股、清扫南股、清扫北股、清运生产股、综合收费股、清洗队、安全生产股、餐厨股。</w:t>
            </w:r>
          </w:p>
          <w:p w14:paraId="00E7AFF6">
            <w:pPr>
              <w:widowControl/>
              <w:numPr>
                <w:ilvl w:val="0"/>
                <w:numId w:val="0"/>
              </w:numPr>
              <w:spacing w:line="600" w:lineRule="exact"/>
              <w:ind w:firstLine="643" w:firstLineChars="200"/>
              <w:jc w:val="left"/>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二</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主要工作职责职能</w:t>
            </w:r>
          </w:p>
          <w:p w14:paraId="6A8FFEBE">
            <w:pPr>
              <w:widowControl/>
              <w:numPr>
                <w:ilvl w:val="0"/>
                <w:numId w:val="0"/>
              </w:num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承担县城市容环境卫生</w:t>
            </w:r>
            <w:r>
              <w:rPr>
                <w:rFonts w:hint="eastAsia" w:ascii="仿宋" w:hAnsi="仿宋" w:eastAsia="仿宋" w:cs="仿宋"/>
                <w:sz w:val="32"/>
                <w:szCs w:val="32"/>
                <w:lang w:val="en-US" w:eastAsia="zh-CN"/>
              </w:rPr>
              <w:t>服务</w:t>
            </w:r>
            <w:r>
              <w:rPr>
                <w:rFonts w:hint="eastAsia" w:ascii="仿宋" w:hAnsi="仿宋" w:eastAsia="仿宋" w:cs="仿宋"/>
                <w:sz w:val="32"/>
                <w:szCs w:val="32"/>
              </w:rPr>
              <w:t>方面的事务性工作。</w:t>
            </w:r>
          </w:p>
          <w:p w14:paraId="7AB2B044">
            <w:pPr>
              <w:widowControl/>
              <w:numPr>
                <w:ilvl w:val="0"/>
                <w:numId w:val="0"/>
              </w:numPr>
              <w:spacing w:line="60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负责起草县城市容环境卫生发展规划草案</w:t>
            </w:r>
            <w:r>
              <w:rPr>
                <w:rFonts w:hint="eastAsia" w:ascii="仿宋" w:hAnsi="仿宋" w:eastAsia="仿宋" w:cs="仿宋"/>
                <w:sz w:val="32"/>
                <w:szCs w:val="32"/>
                <w:lang w:eastAsia="zh-CN"/>
              </w:rPr>
              <w:t>；</w:t>
            </w:r>
            <w:r>
              <w:rPr>
                <w:rFonts w:hint="eastAsia" w:ascii="仿宋" w:hAnsi="仿宋" w:eastAsia="仿宋" w:cs="仿宋"/>
                <w:sz w:val="32"/>
                <w:szCs w:val="32"/>
              </w:rPr>
              <w:t>起草县城市容环境卫生设施建设规划草案</w:t>
            </w:r>
            <w:r>
              <w:rPr>
                <w:rFonts w:hint="eastAsia" w:ascii="仿宋" w:hAnsi="仿宋" w:eastAsia="仿宋" w:cs="仿宋"/>
                <w:sz w:val="32"/>
                <w:szCs w:val="32"/>
                <w:lang w:eastAsia="zh-CN"/>
              </w:rPr>
              <w:t>；</w:t>
            </w:r>
            <w:r>
              <w:rPr>
                <w:rFonts w:hint="eastAsia" w:ascii="仿宋" w:hAnsi="仿宋" w:eastAsia="仿宋" w:cs="仿宋"/>
                <w:sz w:val="32"/>
                <w:szCs w:val="32"/>
              </w:rPr>
              <w:t>起草县城市容环境卫生作业标准草案。执行县城市容环境卫生作业标准</w:t>
            </w:r>
            <w:r>
              <w:rPr>
                <w:rFonts w:hint="eastAsia" w:ascii="仿宋" w:hAnsi="仿宋" w:eastAsia="仿宋" w:cs="仿宋"/>
                <w:sz w:val="32"/>
                <w:szCs w:val="32"/>
                <w:lang w:eastAsia="zh-CN"/>
              </w:rPr>
              <w:t>；</w:t>
            </w:r>
            <w:r>
              <w:rPr>
                <w:rFonts w:hint="eastAsia" w:ascii="仿宋" w:hAnsi="仿宋" w:eastAsia="仿宋" w:cs="仿宋"/>
                <w:sz w:val="32"/>
                <w:szCs w:val="32"/>
              </w:rPr>
              <w:t>落实县城大街小巷、临街门面</w:t>
            </w:r>
            <w:r>
              <w:rPr>
                <w:rFonts w:hint="eastAsia" w:ascii="仿宋" w:hAnsi="仿宋" w:eastAsia="仿宋" w:cs="仿宋"/>
                <w:sz w:val="32"/>
                <w:szCs w:val="32"/>
                <w:lang w:eastAsia="zh-CN"/>
              </w:rPr>
              <w:t>、</w:t>
            </w:r>
            <w:r>
              <w:rPr>
                <w:rFonts w:hint="eastAsia" w:ascii="仿宋" w:hAnsi="仿宋" w:eastAsia="仿宋" w:cs="仿宋"/>
                <w:sz w:val="32"/>
                <w:szCs w:val="32"/>
              </w:rPr>
              <w:t>单位、城乡结合部等市容环境卫生责任制</w:t>
            </w:r>
            <w:r>
              <w:rPr>
                <w:rFonts w:hint="eastAsia" w:ascii="仿宋" w:hAnsi="仿宋" w:eastAsia="仿宋" w:cs="仿宋"/>
                <w:sz w:val="32"/>
                <w:szCs w:val="32"/>
                <w:lang w:eastAsia="zh-CN"/>
              </w:rPr>
              <w:t>；</w:t>
            </w:r>
            <w:r>
              <w:rPr>
                <w:rFonts w:hint="eastAsia" w:ascii="仿宋" w:hAnsi="仿宋" w:eastAsia="仿宋" w:cs="仿宋"/>
                <w:sz w:val="32"/>
                <w:szCs w:val="32"/>
              </w:rPr>
              <w:t>协助</w:t>
            </w:r>
            <w:r>
              <w:rPr>
                <w:rFonts w:hint="eastAsia" w:ascii="仿宋" w:hAnsi="仿宋" w:eastAsia="仿宋" w:cs="仿宋"/>
                <w:sz w:val="32"/>
                <w:szCs w:val="32"/>
                <w:lang w:val="en-US" w:eastAsia="zh-CN"/>
              </w:rPr>
              <w:t>税务部门代收代缴</w:t>
            </w:r>
            <w:r>
              <w:rPr>
                <w:rFonts w:hint="eastAsia" w:ascii="仿宋" w:hAnsi="仿宋" w:eastAsia="仿宋" w:cs="仿宋"/>
                <w:sz w:val="32"/>
                <w:szCs w:val="32"/>
              </w:rPr>
              <w:t>县城市容环境卫生服务有关规费。</w:t>
            </w:r>
          </w:p>
          <w:p w14:paraId="49CDD6CE">
            <w:pPr>
              <w:widowControl/>
              <w:numPr>
                <w:ilvl w:val="0"/>
                <w:numId w:val="0"/>
              </w:numPr>
              <w:spacing w:line="60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负责县城主次街道清扫、</w:t>
            </w:r>
            <w:r>
              <w:rPr>
                <w:rFonts w:hint="eastAsia" w:ascii="仿宋" w:hAnsi="仿宋" w:eastAsia="仿宋" w:cs="仿宋"/>
                <w:sz w:val="32"/>
                <w:szCs w:val="32"/>
                <w:lang w:val="en-US" w:eastAsia="zh-CN"/>
              </w:rPr>
              <w:t>公厕、</w:t>
            </w:r>
            <w:r>
              <w:rPr>
                <w:rFonts w:hint="eastAsia" w:ascii="仿宋" w:hAnsi="仿宋" w:eastAsia="仿宋" w:cs="仿宋"/>
                <w:sz w:val="32"/>
                <w:szCs w:val="32"/>
              </w:rPr>
              <w:t>垃圾站和垃圾容器保洁；负责县城市容环境卫生设施设备保养</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维修、维护；负责县城区生活垃圾、餐厨垃圾收转运工作；负责县城门店、居民住户生活垃圾收集；负责县城主次街道冲洗、洒水、机械化清扫；负责县城主次街道“牛皮癣”清理等。</w:t>
            </w:r>
          </w:p>
          <w:p w14:paraId="11A06A84">
            <w:pPr>
              <w:widowControl/>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完成上级主管部门交办的其他工作任务。</w:t>
            </w:r>
          </w:p>
          <w:p w14:paraId="2EE84876">
            <w:pPr>
              <w:widowControl/>
              <w:spacing w:line="60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sz w:val="32"/>
                <w:szCs w:val="32"/>
              </w:rPr>
              <w:t>职能转变。县市容环境卫生服务中心应积极推进行政职能回归行政机关，推进经营性职能剥离，推进向社会购买服务，切实转变工作职能，强化公益服务，做好全县市容环境卫生服务工作</w:t>
            </w:r>
            <w:r>
              <w:rPr>
                <w:rFonts w:hint="eastAsia" w:ascii="仿宋" w:hAnsi="仿宋" w:eastAsia="仿宋" w:cs="仿宋"/>
                <w:sz w:val="32"/>
                <w:szCs w:val="32"/>
                <w:lang w:eastAsia="zh-CN"/>
              </w:rPr>
              <w:t>。</w:t>
            </w:r>
          </w:p>
          <w:p w14:paraId="757F4668">
            <w:pPr>
              <w:keepNext w:val="0"/>
              <w:keepLines w:val="0"/>
              <w:pageBreakBefore w:val="0"/>
              <w:kinsoku/>
              <w:wordWrap/>
              <w:overflowPunct/>
              <w:topLinePunct w:val="0"/>
              <w:autoSpaceDE/>
              <w:autoSpaceDN w:val="0"/>
              <w:bidi w:val="0"/>
              <w:adjustRightInd/>
              <w:snapToGrid/>
              <w:spacing w:line="460" w:lineRule="exact"/>
              <w:ind w:firstLine="643" w:firstLineChars="200"/>
              <w:jc w:val="left"/>
              <w:textAlignment w:val="center"/>
              <w:outlineLvl w:val="9"/>
              <w:rPr>
                <w:rFonts w:hint="eastAsia" w:ascii="仿宋" w:hAnsi="仿宋" w:eastAsia="仿宋" w:cs="仿宋"/>
                <w:b/>
                <w:bCs w:val="0"/>
                <w:color w:val="000000" w:themeColor="text1"/>
                <w:sz w:val="32"/>
                <w:szCs w:val="32"/>
                <w:lang w:val="en-US" w:eastAsia="zh-CN"/>
                <w14:textFill>
                  <w14:solidFill>
                    <w14:schemeClr w14:val="tx1"/>
                  </w14:solidFill>
                </w14:textFill>
              </w:rPr>
            </w:pPr>
            <w:r>
              <w:rPr>
                <w:rFonts w:hint="eastAsia" w:ascii="仿宋" w:hAnsi="仿宋" w:eastAsia="仿宋" w:cs="仿宋"/>
                <w:b/>
                <w:bCs w:val="0"/>
                <w:color w:val="000000" w:themeColor="text1"/>
                <w:sz w:val="32"/>
                <w:szCs w:val="32"/>
                <w:lang w:val="en-US" w:eastAsia="zh-CN"/>
                <w14:textFill>
                  <w14:solidFill>
                    <w14:schemeClr w14:val="tx1"/>
                  </w14:solidFill>
                </w14:textFill>
              </w:rPr>
              <w:t>三、2023年工作目标任务：</w:t>
            </w:r>
          </w:p>
          <w:p w14:paraId="031ED8E4">
            <w:pPr>
              <w:keepNext w:val="0"/>
              <w:keepLines w:val="0"/>
              <w:pageBreakBefore w:val="0"/>
              <w:kinsoku/>
              <w:wordWrap/>
              <w:overflowPunct/>
              <w:topLinePunct w:val="0"/>
              <w:autoSpaceDE/>
              <w:autoSpaceDN w:val="0"/>
              <w:bidi w:val="0"/>
              <w:adjustRightInd/>
              <w:snapToGrid/>
              <w:spacing w:line="460" w:lineRule="exact"/>
              <w:ind w:firstLine="640" w:firstLineChars="200"/>
              <w:jc w:val="left"/>
              <w:textAlignment w:val="center"/>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目标</w:t>
            </w:r>
            <w:r>
              <w:rPr>
                <w:rFonts w:hint="eastAsia" w:ascii="仿宋" w:hAnsi="仿宋" w:eastAsia="仿宋" w:cs="仿宋"/>
                <w:color w:val="auto"/>
                <w:sz w:val="32"/>
                <w:szCs w:val="32"/>
              </w:rPr>
              <w:t>1：</w:t>
            </w:r>
            <w:r>
              <w:rPr>
                <w:rFonts w:hint="eastAsia" w:ascii="仿宋" w:hAnsi="仿宋" w:eastAsia="仿宋" w:cs="仿宋"/>
                <w:color w:val="000000" w:themeColor="text1"/>
                <w:sz w:val="32"/>
                <w:szCs w:val="32"/>
                <w:lang w:val="en-US" w:eastAsia="zh-CN"/>
                <w14:textFill>
                  <w14:solidFill>
                    <w14:schemeClr w14:val="tx1"/>
                  </w14:solidFill>
                </w14:textFill>
              </w:rPr>
              <w:t>着力解决环卫热点、难点问题，进一步改善县城市容和环境卫生面貌，全面提升城区市容和环境卫生服务水平。</w:t>
            </w:r>
          </w:p>
          <w:p w14:paraId="7C10F282">
            <w:pPr>
              <w:keepNext w:val="0"/>
              <w:keepLines w:val="0"/>
              <w:pageBreakBefore w:val="0"/>
              <w:kinsoku/>
              <w:wordWrap/>
              <w:overflowPunct/>
              <w:topLinePunct w:val="0"/>
              <w:autoSpaceDE/>
              <w:autoSpaceDN w:val="0"/>
              <w:bidi w:val="0"/>
              <w:adjustRightInd/>
              <w:snapToGrid/>
              <w:spacing w:line="460" w:lineRule="exact"/>
              <w:ind w:firstLine="640" w:firstLineChars="200"/>
              <w:jc w:val="left"/>
              <w:textAlignment w:val="center"/>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目标2：</w:t>
            </w:r>
            <w:r>
              <w:rPr>
                <w:rFonts w:hint="eastAsia" w:ascii="仿宋" w:hAnsi="仿宋" w:eastAsia="仿宋" w:cs="仿宋"/>
                <w:color w:val="000000" w:themeColor="text1"/>
                <w:sz w:val="32"/>
                <w:szCs w:val="32"/>
                <w:lang w:val="en-US" w:eastAsia="zh-CN"/>
                <w14:textFill>
                  <w14:solidFill>
                    <w14:schemeClr w14:val="tx1"/>
                  </w14:solidFill>
                </w14:textFill>
              </w:rPr>
              <w:t>持续推进小块责任承包，推动各项管理改革措施。</w:t>
            </w:r>
          </w:p>
          <w:p w14:paraId="1825ABA6">
            <w:pPr>
              <w:keepNext w:val="0"/>
              <w:keepLines w:val="0"/>
              <w:pageBreakBefore w:val="0"/>
              <w:kinsoku/>
              <w:wordWrap/>
              <w:overflowPunct/>
              <w:topLinePunct w:val="0"/>
              <w:autoSpaceDE/>
              <w:autoSpaceDN w:val="0"/>
              <w:bidi w:val="0"/>
              <w:adjustRightInd/>
              <w:snapToGrid/>
              <w:spacing w:line="460" w:lineRule="exact"/>
              <w:ind w:firstLine="640" w:firstLineChars="200"/>
              <w:jc w:val="left"/>
              <w:textAlignment w:val="center"/>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目标3：巩固环卫日常生产工作，全年预算申请到位，下拨数量在95%以上，三公经费变动率</w:t>
            </w:r>
            <w:r>
              <w:rPr>
                <w:rFonts w:hint="default"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0.社会效益、经济效益、生态效率和社会公众满意度达到预期目标。</w:t>
            </w:r>
          </w:p>
          <w:p w14:paraId="5E9CFC94">
            <w:pPr>
              <w:keepNext w:val="0"/>
              <w:keepLines w:val="0"/>
              <w:pageBreakBefore w:val="0"/>
              <w:kinsoku/>
              <w:wordWrap/>
              <w:overflowPunct/>
              <w:topLinePunct w:val="0"/>
              <w:autoSpaceDE/>
              <w:autoSpaceDN w:val="0"/>
              <w:bidi w:val="0"/>
              <w:adjustRightInd/>
              <w:snapToGrid/>
              <w:spacing w:line="460" w:lineRule="exact"/>
              <w:ind w:firstLine="320" w:firstLineChars="100"/>
              <w:jc w:val="left"/>
              <w:textAlignment w:val="center"/>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w:t>
            </w:r>
            <w:r>
              <w:rPr>
                <w:rFonts w:hint="eastAsia" w:ascii="仿宋" w:hAnsi="仿宋" w:eastAsia="仿宋" w:cs="仿宋"/>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Cs/>
                <w:color w:val="000000" w:themeColor="text1"/>
                <w:sz w:val="32"/>
                <w:szCs w:val="32"/>
                <w14:textFill>
                  <w14:solidFill>
                    <w14:schemeClr w14:val="tx1"/>
                  </w14:solidFill>
                </w14:textFill>
              </w:rPr>
              <w:t>部门（单位）整体支出规模、使用方向和主要内容、涉及范围</w:t>
            </w:r>
            <w:r>
              <w:rPr>
                <w:rFonts w:hint="eastAsia" w:ascii="仿宋" w:hAnsi="仿宋" w:eastAsia="仿宋" w:cs="仿宋"/>
                <w:bCs/>
                <w:color w:val="000000" w:themeColor="text1"/>
                <w:sz w:val="32"/>
                <w:szCs w:val="32"/>
                <w:lang w:eastAsia="zh-CN"/>
                <w14:textFill>
                  <w14:solidFill>
                    <w14:schemeClr w14:val="tx1"/>
                  </w14:solidFill>
                </w14:textFill>
              </w:rPr>
              <w:t>：</w:t>
            </w:r>
          </w:p>
          <w:p w14:paraId="26EE87FA">
            <w:pPr>
              <w:keepNext w:val="0"/>
              <w:keepLines w:val="0"/>
              <w:pageBreakBefore w:val="0"/>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2023年</w:t>
            </w:r>
            <w:r>
              <w:rPr>
                <w:rFonts w:hint="eastAsia" w:ascii="仿宋" w:hAnsi="仿宋" w:eastAsia="仿宋" w:cs="仿宋"/>
                <w:color w:val="000000"/>
                <w:sz w:val="32"/>
                <w:szCs w:val="32"/>
                <w:lang w:eastAsia="zh-CN"/>
              </w:rPr>
              <w:t>岳阳县市容环境卫生服务中心</w:t>
            </w:r>
            <w:r>
              <w:rPr>
                <w:rFonts w:hint="eastAsia" w:ascii="仿宋" w:hAnsi="仿宋" w:eastAsia="仿宋" w:cs="仿宋"/>
                <w:bCs/>
                <w:color w:val="000000" w:themeColor="text1"/>
                <w:sz w:val="32"/>
                <w:szCs w:val="32"/>
                <w:lang w:val="en-US" w:eastAsia="zh-CN"/>
                <w14:textFill>
                  <w14:solidFill>
                    <w14:schemeClr w14:val="tx1"/>
                  </w14:solidFill>
                </w14:textFill>
              </w:rPr>
              <w:t>总支出4137.96万元，其中：基本支出1880.93万元，包括</w:t>
            </w:r>
            <w:r>
              <w:rPr>
                <w:rFonts w:hint="eastAsia" w:ascii="仿宋" w:hAnsi="仿宋" w:eastAsia="仿宋" w:cs="仿宋"/>
                <w:color w:val="000000" w:themeColor="text1"/>
                <w:kern w:val="0"/>
                <w:sz w:val="32"/>
                <w:szCs w:val="32"/>
                <w:highlight w:val="none"/>
                <w:lang w:eastAsia="zh-CN"/>
                <w14:textFill>
                  <w14:solidFill>
                    <w14:schemeClr w14:val="tx1"/>
                  </w14:solidFill>
                </w14:textFill>
              </w:rPr>
              <w:t>工资福利支出</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、一般商品和服务支出、对个人和家庭的补助支出</w:t>
            </w:r>
            <w:r>
              <w:rPr>
                <w:rFonts w:hint="eastAsia" w:ascii="仿宋" w:hAnsi="仿宋" w:eastAsia="仿宋" w:cs="仿宋"/>
                <w:bCs/>
                <w:color w:val="000000" w:themeColor="text1"/>
                <w:sz w:val="32"/>
                <w:szCs w:val="32"/>
                <w:lang w:val="en-US" w:eastAsia="zh-CN"/>
                <w14:textFill>
                  <w14:solidFill>
                    <w14:schemeClr w14:val="tx1"/>
                  </w14:solidFill>
                </w14:textFill>
              </w:rPr>
              <w:t>；项目支出2163.78万元。年末结转和结余93.25万元。</w:t>
            </w:r>
          </w:p>
          <w:p w14:paraId="36EA7592">
            <w:pPr>
              <w:keepNext w:val="0"/>
              <w:keepLines w:val="0"/>
              <w:pageBreakBefore w:val="0"/>
              <w:kinsoku/>
              <w:wordWrap/>
              <w:overflowPunct/>
              <w:topLinePunct w:val="0"/>
              <w:autoSpaceDE/>
              <w:bidi w:val="0"/>
              <w:adjustRightInd/>
              <w:snapToGrid/>
              <w:spacing w:line="460" w:lineRule="exact"/>
              <w:ind w:firstLine="643" w:firstLineChars="200"/>
              <w:outlineLvl w:val="9"/>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b/>
                <w:bCs w:val="0"/>
                <w:color w:val="000000" w:themeColor="text1"/>
                <w:sz w:val="32"/>
                <w:szCs w:val="32"/>
                <w:lang w:val="en-US" w:eastAsia="zh-CN"/>
                <w14:textFill>
                  <w14:solidFill>
                    <w14:schemeClr w14:val="tx1"/>
                  </w14:solidFill>
                </w14:textFill>
              </w:rPr>
              <w:t>四、</w:t>
            </w:r>
            <w:r>
              <w:rPr>
                <w:rFonts w:hint="eastAsia" w:ascii="仿宋" w:hAnsi="仿宋" w:eastAsia="仿宋" w:cs="仿宋"/>
                <w:b/>
                <w:bCs w:val="0"/>
                <w:color w:val="000000" w:themeColor="text1"/>
                <w:sz w:val="32"/>
                <w:szCs w:val="32"/>
                <w14:textFill>
                  <w14:solidFill>
                    <w14:schemeClr w14:val="tx1"/>
                  </w14:solidFill>
                </w14:textFill>
              </w:rPr>
              <w:t>部门（单位）整体支出管理及使用情况</w:t>
            </w:r>
          </w:p>
          <w:p w14:paraId="0A2E00A6">
            <w:pPr>
              <w:keepNext w:val="0"/>
              <w:keepLines w:val="0"/>
              <w:pageBreakBefore w:val="0"/>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（一）基本支出</w:t>
            </w:r>
          </w:p>
          <w:p w14:paraId="3A77D08E">
            <w:pPr>
              <w:keepNext w:val="0"/>
              <w:keepLines w:val="0"/>
              <w:pageBreakBefore w:val="0"/>
              <w:numPr>
                <w:ilvl w:val="0"/>
                <w:numId w:val="0"/>
              </w:numPr>
              <w:kinsoku/>
              <w:wordWrap/>
              <w:overflowPunct/>
              <w:topLinePunct w:val="0"/>
              <w:autoSpaceDE/>
              <w:bidi w:val="0"/>
              <w:adjustRightInd/>
              <w:snapToGrid/>
              <w:spacing w:line="460" w:lineRule="exact"/>
              <w:ind w:leftChars="0"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2023年</w:t>
            </w:r>
            <w:r>
              <w:rPr>
                <w:rFonts w:hint="eastAsia" w:ascii="仿宋" w:hAnsi="仿宋" w:eastAsia="仿宋" w:cs="仿宋"/>
                <w:color w:val="000000"/>
                <w:sz w:val="32"/>
                <w:szCs w:val="32"/>
                <w:lang w:eastAsia="zh-CN"/>
              </w:rPr>
              <w:t>岳阳县市容环境卫生服务中心</w:t>
            </w:r>
            <w:r>
              <w:rPr>
                <w:rFonts w:hint="eastAsia" w:ascii="仿宋" w:hAnsi="仿宋" w:eastAsia="仿宋" w:cs="仿宋"/>
                <w:bCs/>
                <w:color w:val="000000" w:themeColor="text1"/>
                <w:sz w:val="32"/>
                <w:szCs w:val="32"/>
                <w:lang w:val="en-US" w:eastAsia="zh-CN"/>
                <w14:textFill>
                  <w14:solidFill>
                    <w14:schemeClr w14:val="tx1"/>
                  </w14:solidFill>
                </w14:textFill>
              </w:rPr>
              <w:t>基本支出1880.93万元,主要用于人员支出1431.43万元，公用支出449.5万元。“三公经费”支出0万元。</w:t>
            </w:r>
          </w:p>
          <w:p w14:paraId="1E731428">
            <w:pPr>
              <w:keepNext w:val="0"/>
              <w:keepLines w:val="0"/>
              <w:pageBreakBefore w:val="0"/>
              <w:numPr>
                <w:ilvl w:val="0"/>
                <w:numId w:val="0"/>
              </w:numPr>
              <w:kinsoku/>
              <w:wordWrap/>
              <w:overflowPunct/>
              <w:topLinePunct w:val="0"/>
              <w:autoSpaceDE/>
              <w:bidi w:val="0"/>
              <w:adjustRightInd/>
              <w:snapToGrid/>
              <w:spacing w:line="460" w:lineRule="exact"/>
              <w:ind w:leftChars="0" w:firstLine="640" w:firstLineChars="200"/>
              <w:outlineLvl w:val="9"/>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lang w:eastAsia="zh-CN"/>
                <w14:textFill>
                  <w14:solidFill>
                    <w14:schemeClr w14:val="tx1"/>
                  </w14:solidFill>
                </w14:textFill>
              </w:rPr>
              <w:t>（二）</w:t>
            </w:r>
            <w:r>
              <w:rPr>
                <w:rFonts w:hint="eastAsia" w:ascii="仿宋" w:hAnsi="仿宋" w:eastAsia="仿宋" w:cs="仿宋"/>
                <w:bCs/>
                <w:color w:val="000000" w:themeColor="text1"/>
                <w:sz w:val="32"/>
                <w:szCs w:val="32"/>
                <w14:textFill>
                  <w14:solidFill>
                    <w14:schemeClr w14:val="tx1"/>
                  </w14:solidFill>
                </w14:textFill>
              </w:rPr>
              <w:t>专项支出</w:t>
            </w:r>
          </w:p>
          <w:p w14:paraId="3DDDFA47">
            <w:pPr>
              <w:keepNext w:val="0"/>
              <w:keepLines w:val="0"/>
              <w:pageBreakBefore w:val="0"/>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FF0000"/>
                <w:sz w:val="32"/>
                <w:szCs w:val="32"/>
                <w:lang w:val="en-US" w:eastAsia="zh-CN"/>
              </w:rPr>
              <w:t xml:space="preserve"> </w:t>
            </w:r>
            <w:r>
              <w:rPr>
                <w:rFonts w:hint="eastAsia" w:ascii="仿宋" w:hAnsi="仿宋" w:eastAsia="仿宋" w:cs="仿宋"/>
                <w:bCs/>
                <w:color w:val="000000" w:themeColor="text1"/>
                <w:sz w:val="32"/>
                <w:szCs w:val="32"/>
                <w:lang w:val="en-US" w:eastAsia="zh-CN"/>
                <w14:textFill>
                  <w14:solidFill>
                    <w14:schemeClr w14:val="tx1"/>
                  </w14:solidFill>
                </w14:textFill>
              </w:rPr>
              <w:t xml:space="preserve"> 2023我单位项目支出2163.78万元，用于城市环境卫生服务。</w:t>
            </w:r>
          </w:p>
          <w:p w14:paraId="70453890">
            <w:pPr>
              <w:keepNext w:val="0"/>
              <w:keepLines w:val="0"/>
              <w:pageBreakBefore w:val="0"/>
              <w:numPr>
                <w:ilvl w:val="0"/>
                <w:numId w:val="0"/>
              </w:numPr>
              <w:kinsoku/>
              <w:wordWrap/>
              <w:overflowPunct/>
              <w:topLinePunct w:val="0"/>
              <w:autoSpaceDE/>
              <w:bidi w:val="0"/>
              <w:adjustRightInd/>
              <w:snapToGrid/>
              <w:spacing w:line="460" w:lineRule="exact"/>
              <w:ind w:firstLine="643" w:firstLineChars="200"/>
              <w:outlineLvl w:val="9"/>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b/>
                <w:bCs w:val="0"/>
                <w:color w:val="000000" w:themeColor="text1"/>
                <w:sz w:val="32"/>
                <w:szCs w:val="32"/>
                <w:lang w:val="en-US" w:eastAsia="zh-CN"/>
                <w14:textFill>
                  <w14:solidFill>
                    <w14:schemeClr w14:val="tx1"/>
                  </w14:solidFill>
                </w14:textFill>
              </w:rPr>
              <w:t>五、</w:t>
            </w:r>
            <w:r>
              <w:rPr>
                <w:rFonts w:hint="eastAsia" w:ascii="仿宋" w:hAnsi="仿宋" w:eastAsia="仿宋" w:cs="仿宋"/>
                <w:b/>
                <w:bCs w:val="0"/>
                <w:color w:val="000000" w:themeColor="text1"/>
                <w:sz w:val="32"/>
                <w:szCs w:val="32"/>
                <w14:textFill>
                  <w14:solidFill>
                    <w14:schemeClr w14:val="tx1"/>
                  </w14:solidFill>
                </w14:textFill>
              </w:rPr>
              <w:t>部门（单位）整体支出绩效情况</w:t>
            </w:r>
          </w:p>
          <w:p w14:paraId="6866770E">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一、经济效益：</w:t>
            </w:r>
            <w:r>
              <w:rPr>
                <w:rFonts w:hint="eastAsia" w:ascii="仿宋" w:hAnsi="仿宋" w:eastAsia="仿宋" w:cs="仿宋"/>
                <w:color w:val="000000" w:themeColor="text1"/>
                <w:sz w:val="32"/>
                <w:szCs w:val="32"/>
                <w14:textFill>
                  <w14:solidFill>
                    <w14:schemeClr w14:val="tx1"/>
                  </w14:solidFill>
                </w14:textFill>
              </w:rPr>
              <w:t>严控非生产性开支，严肃财务纪律，遵守财经制度，规范财务报账手续，实现经济效益最大化</w:t>
            </w:r>
            <w:r>
              <w:rPr>
                <w:rFonts w:hint="eastAsia" w:ascii="仿宋" w:hAnsi="仿宋" w:eastAsia="仿宋" w:cs="仿宋"/>
                <w:color w:val="000000" w:themeColor="text1"/>
                <w:sz w:val="32"/>
                <w:szCs w:val="32"/>
                <w:lang w:eastAsia="zh-CN"/>
                <w14:textFill>
                  <w14:solidFill>
                    <w14:schemeClr w14:val="tx1"/>
                  </w14:solidFill>
                </w14:textFill>
              </w:rPr>
              <w:t>。</w:t>
            </w:r>
          </w:p>
          <w:p w14:paraId="224FB108">
            <w:pPr>
              <w:keepNext w:val="0"/>
              <w:keepLines w:val="0"/>
              <w:pageBreakBefore w:val="0"/>
              <w:kinsoku/>
              <w:wordWrap/>
              <w:overflowPunct/>
              <w:topLinePunct w:val="0"/>
              <w:autoSpaceDE/>
              <w:bidi w:val="0"/>
              <w:adjustRightInd/>
              <w:snapToGrid/>
              <w:spacing w:line="460" w:lineRule="exact"/>
              <w:ind w:firstLine="640" w:firstLineChars="200"/>
              <w:jc w:val="both"/>
              <w:outlineLvl w:val="9"/>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二、</w:t>
            </w:r>
            <w:r>
              <w:rPr>
                <w:rFonts w:hint="eastAsia" w:ascii="仿宋" w:hAnsi="仿宋" w:eastAsia="仿宋" w:cs="仿宋"/>
                <w:color w:val="000000" w:themeColor="text1"/>
                <w:sz w:val="32"/>
                <w:szCs w:val="32"/>
                <w14:textFill>
                  <w14:solidFill>
                    <w14:schemeClr w14:val="tx1"/>
                  </w14:solidFill>
                </w14:textFill>
              </w:rPr>
              <w:t>社会效益</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提高县城环境卫生质量，提升环卫服务水平</w:t>
            </w:r>
            <w:r>
              <w:rPr>
                <w:rFonts w:hint="eastAsia" w:ascii="仿宋" w:hAnsi="仿宋" w:eastAsia="仿宋" w:cs="仿宋"/>
                <w:color w:val="000000" w:themeColor="text1"/>
                <w:sz w:val="32"/>
                <w:szCs w:val="32"/>
                <w:lang w:eastAsia="zh-CN"/>
                <w14:textFill>
                  <w14:solidFill>
                    <w14:schemeClr w14:val="tx1"/>
                  </w14:solidFill>
                </w14:textFill>
              </w:rPr>
              <w:t>。</w:t>
            </w:r>
          </w:p>
          <w:p w14:paraId="2CD23710">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jc w:val="both"/>
              <w:outlineLvl w:val="9"/>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三、</w:t>
            </w:r>
            <w:r>
              <w:rPr>
                <w:rFonts w:hint="eastAsia" w:ascii="仿宋" w:hAnsi="仿宋" w:eastAsia="仿宋" w:cs="仿宋"/>
                <w:color w:val="000000" w:themeColor="text1"/>
                <w:sz w:val="32"/>
                <w:szCs w:val="32"/>
                <w14:textFill>
                  <w14:solidFill>
                    <w14:schemeClr w14:val="tx1"/>
                  </w14:solidFill>
                </w14:textFill>
              </w:rPr>
              <w:t>生态效益</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杜绝城区白色垃圾、提高环境卫生质量，提升人文居住环境</w:t>
            </w:r>
            <w:r>
              <w:rPr>
                <w:rFonts w:hint="eastAsia" w:ascii="仿宋" w:hAnsi="仿宋" w:eastAsia="仿宋" w:cs="仿宋"/>
                <w:color w:val="000000" w:themeColor="text1"/>
                <w:sz w:val="32"/>
                <w:szCs w:val="32"/>
                <w:lang w:eastAsia="zh-CN"/>
                <w14:textFill>
                  <w14:solidFill>
                    <w14:schemeClr w14:val="tx1"/>
                  </w14:solidFill>
                </w14:textFill>
              </w:rPr>
              <w:t>。</w:t>
            </w:r>
          </w:p>
          <w:p w14:paraId="38EDBF38">
            <w:pPr>
              <w:keepNext w:val="0"/>
              <w:keepLines w:val="0"/>
              <w:pageBreakBefore w:val="0"/>
              <w:numPr>
                <w:ilvl w:val="0"/>
                <w:numId w:val="0"/>
              </w:numPr>
              <w:kinsoku/>
              <w:wordWrap/>
              <w:overflowPunct/>
              <w:topLinePunct w:val="0"/>
              <w:autoSpaceDE/>
              <w:bidi w:val="0"/>
              <w:adjustRightInd/>
              <w:snapToGrid/>
              <w:spacing w:line="460" w:lineRule="exact"/>
              <w:ind w:firstLine="643" w:firstLineChars="200"/>
              <w:outlineLvl w:val="9"/>
              <w:rPr>
                <w:rFonts w:hint="eastAsia" w:ascii="仿宋" w:hAnsi="仿宋" w:eastAsia="仿宋" w:cs="仿宋"/>
                <w:b/>
                <w:bCs w:val="0"/>
                <w:color w:val="auto"/>
                <w:sz w:val="32"/>
                <w:szCs w:val="32"/>
              </w:rPr>
            </w:pPr>
            <w:r>
              <w:rPr>
                <w:rFonts w:hint="eastAsia" w:ascii="仿宋" w:hAnsi="仿宋" w:eastAsia="仿宋" w:cs="仿宋"/>
                <w:b/>
                <w:bCs w:val="0"/>
                <w:color w:val="auto"/>
                <w:sz w:val="32"/>
                <w:szCs w:val="32"/>
                <w:lang w:val="en-US" w:eastAsia="zh-CN"/>
              </w:rPr>
              <w:t>六、</w:t>
            </w:r>
            <w:r>
              <w:rPr>
                <w:rFonts w:hint="eastAsia" w:ascii="仿宋" w:hAnsi="仿宋" w:eastAsia="仿宋" w:cs="仿宋"/>
                <w:b/>
                <w:bCs w:val="0"/>
                <w:color w:val="auto"/>
                <w:sz w:val="32"/>
                <w:szCs w:val="32"/>
              </w:rPr>
              <w:t>存在的主要问题</w:t>
            </w:r>
          </w:p>
          <w:p w14:paraId="5CBE9700">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rPr>
              <w:t>（一）</w:t>
            </w:r>
            <w:r>
              <w:rPr>
                <w:rFonts w:hint="eastAsia" w:ascii="仿宋" w:hAnsi="仿宋" w:eastAsia="仿宋" w:cs="仿宋"/>
                <w:bCs/>
                <w:color w:val="auto"/>
                <w:sz w:val="32"/>
                <w:szCs w:val="32"/>
                <w:lang w:eastAsia="zh-CN"/>
              </w:rPr>
              <w:t>管理制度落实不到位</w:t>
            </w:r>
          </w:p>
          <w:p w14:paraId="0F93A35F">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lang w:val="en-US" w:eastAsia="zh-CN"/>
              </w:rPr>
            </w:pPr>
            <w:r>
              <w:rPr>
                <w:rFonts w:hint="eastAsia" w:ascii="仿宋" w:hAnsi="仿宋" w:eastAsia="仿宋" w:cs="仿宋"/>
                <w:bCs/>
                <w:color w:val="auto"/>
                <w:sz w:val="32"/>
                <w:szCs w:val="32"/>
                <w:lang w:val="en-US" w:eastAsia="zh-CN"/>
              </w:rPr>
              <w:t xml:space="preserve">  内控管理上未能很好地实行岗位轮换制，分工上存在不公平，导致单位出现不和谐的声音。</w:t>
            </w:r>
          </w:p>
          <w:p w14:paraId="69A75F04">
            <w:pPr>
              <w:keepNext w:val="0"/>
              <w:keepLines w:val="0"/>
              <w:pageBreakBefore w:val="0"/>
              <w:numPr>
                <w:ilvl w:val="0"/>
                <w:numId w:val="2"/>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rPr>
            </w:pPr>
            <w:r>
              <w:rPr>
                <w:rFonts w:hint="eastAsia" w:ascii="仿宋" w:hAnsi="仿宋" w:eastAsia="仿宋" w:cs="仿宋"/>
                <w:bCs/>
                <w:color w:val="auto"/>
                <w:sz w:val="32"/>
                <w:szCs w:val="32"/>
                <w:lang w:eastAsia="zh-CN"/>
              </w:rPr>
              <w:t>资金</w:t>
            </w:r>
            <w:r>
              <w:rPr>
                <w:rFonts w:hint="eastAsia" w:ascii="仿宋" w:hAnsi="仿宋" w:eastAsia="仿宋" w:cs="仿宋"/>
                <w:bCs/>
                <w:color w:val="auto"/>
                <w:sz w:val="32"/>
                <w:szCs w:val="32"/>
              </w:rPr>
              <w:t>短缺</w:t>
            </w:r>
          </w:p>
          <w:p w14:paraId="6286BD0E">
            <w:pPr>
              <w:keepNext w:val="0"/>
              <w:keepLines w:val="0"/>
              <w:pageBreakBefore w:val="0"/>
              <w:numPr>
                <w:ilvl w:val="0"/>
                <w:numId w:val="0"/>
              </w:numPr>
              <w:kinsoku/>
              <w:wordWrap/>
              <w:overflowPunct/>
              <w:topLinePunct w:val="0"/>
              <w:autoSpaceDE/>
              <w:bidi w:val="0"/>
              <w:adjustRightInd/>
              <w:snapToGrid/>
              <w:spacing w:line="460" w:lineRule="exact"/>
              <w:outlineLvl w:val="9"/>
              <w:rPr>
                <w:rFonts w:hint="eastAsia" w:ascii="仿宋" w:hAnsi="仿宋" w:eastAsia="仿宋" w:cs="仿宋"/>
                <w:bCs/>
                <w:color w:val="auto"/>
                <w:sz w:val="32"/>
                <w:szCs w:val="32"/>
                <w:lang w:val="en-US" w:eastAsia="zh-CN"/>
              </w:rPr>
            </w:pPr>
            <w:r>
              <w:rPr>
                <w:rFonts w:hint="eastAsia" w:ascii="仿宋" w:hAnsi="仿宋" w:eastAsia="仿宋" w:cs="仿宋"/>
                <w:bCs/>
                <w:color w:val="auto"/>
                <w:sz w:val="32"/>
                <w:szCs w:val="32"/>
                <w:lang w:val="en-US" w:eastAsia="zh-CN"/>
              </w:rPr>
              <w:t xml:space="preserve">     市场陈旧，年年需进行维修改造，维修资金缺口较大。</w:t>
            </w:r>
          </w:p>
          <w:p w14:paraId="08042463">
            <w:pPr>
              <w:keepNext w:val="0"/>
              <w:keepLines w:val="0"/>
              <w:pageBreakBefore w:val="0"/>
              <w:widowControl/>
              <w:kinsoku/>
              <w:wordWrap/>
              <w:overflowPunct/>
              <w:topLinePunct w:val="0"/>
              <w:autoSpaceDE/>
              <w:bidi w:val="0"/>
              <w:adjustRightInd/>
              <w:snapToGrid/>
              <w:spacing w:line="460" w:lineRule="exact"/>
              <w:ind w:firstLine="643" w:firstLineChars="200"/>
              <w:outlineLvl w:val="9"/>
              <w:rPr>
                <w:rFonts w:hint="eastAsia" w:ascii="仿宋" w:hAnsi="仿宋" w:eastAsia="仿宋" w:cs="仿宋"/>
                <w:b/>
                <w:bCs w:val="0"/>
                <w:color w:val="auto"/>
                <w:sz w:val="32"/>
                <w:szCs w:val="32"/>
              </w:rPr>
            </w:pPr>
            <w:r>
              <w:rPr>
                <w:rFonts w:hint="eastAsia" w:ascii="仿宋" w:hAnsi="仿宋" w:eastAsia="仿宋" w:cs="仿宋"/>
                <w:b/>
                <w:bCs w:val="0"/>
                <w:color w:val="auto"/>
                <w:sz w:val="32"/>
                <w:szCs w:val="32"/>
                <w:lang w:val="en-US" w:eastAsia="zh-CN"/>
              </w:rPr>
              <w:t>七</w:t>
            </w:r>
            <w:r>
              <w:rPr>
                <w:rFonts w:hint="eastAsia" w:ascii="仿宋" w:hAnsi="仿宋" w:eastAsia="仿宋" w:cs="仿宋"/>
                <w:b/>
                <w:bCs w:val="0"/>
                <w:color w:val="auto"/>
                <w:sz w:val="32"/>
                <w:szCs w:val="32"/>
              </w:rPr>
              <w:t>、改进措施和有关建议</w:t>
            </w:r>
          </w:p>
          <w:p w14:paraId="796EF4BE">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eastAsia="zh-CN"/>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1、</w:t>
            </w:r>
            <w:r>
              <w:rPr>
                <w:rFonts w:hint="eastAsia" w:ascii="仿宋" w:hAnsi="仿宋" w:eastAsia="仿宋" w:cs="仿宋"/>
                <w:bCs/>
                <w:color w:val="000000" w:themeColor="text1"/>
                <w:sz w:val="32"/>
                <w:szCs w:val="32"/>
                <w:lang w:eastAsia="zh-CN"/>
                <w14:textFill>
                  <w14:solidFill>
                    <w14:schemeClr w14:val="tx1"/>
                  </w14:solidFill>
                </w14:textFill>
              </w:rPr>
              <w:t>加强管理，严格实行岗位轮换制，让每个人都有锻炼和提高业务能力的机会。</w:t>
            </w:r>
          </w:p>
          <w:p w14:paraId="63FDF2F0">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2加强预算管理，进一步细化预算支出科目，严格按照年初预算控制支出，</w:t>
            </w:r>
            <w:r>
              <w:rPr>
                <w:rFonts w:hint="eastAsia" w:ascii="仿宋" w:hAnsi="仿宋" w:eastAsia="仿宋" w:cs="仿宋"/>
                <w:bCs/>
                <w:color w:val="000000" w:themeColor="text1"/>
                <w:sz w:val="32"/>
                <w:szCs w:val="32"/>
                <w:lang w:eastAsia="zh-CN"/>
                <w14:textFill>
                  <w14:solidFill>
                    <w14:schemeClr w14:val="tx1"/>
                  </w14:solidFill>
                </w14:textFill>
              </w:rPr>
              <w:t>严格控制非生产性支出。</w:t>
            </w:r>
          </w:p>
          <w:p w14:paraId="35DA79A0">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3、建议县财政大加对单位的财政预算拨款力度。</w:t>
            </w:r>
          </w:p>
          <w:p w14:paraId="78C0321A">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lang w:eastAsia="zh-CN"/>
              </w:rPr>
            </w:pPr>
          </w:p>
          <w:p w14:paraId="48064D31">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FF0000"/>
                <w:sz w:val="32"/>
                <w:szCs w:val="32"/>
                <w:lang w:val="en-US" w:eastAsia="zh-CN"/>
              </w:rPr>
            </w:pPr>
            <w:r>
              <w:rPr>
                <w:rFonts w:hint="eastAsia" w:ascii="仿宋" w:hAnsi="仿宋" w:eastAsia="仿宋" w:cs="仿宋"/>
                <w:bCs/>
                <w:color w:val="FF0000"/>
                <w:sz w:val="32"/>
                <w:szCs w:val="32"/>
                <w:lang w:val="en-US" w:eastAsia="zh-CN"/>
              </w:rPr>
              <w:t xml:space="preserve">                                               </w:t>
            </w:r>
          </w:p>
          <w:p w14:paraId="11FC623A">
            <w:pPr>
              <w:keepNext w:val="0"/>
              <w:keepLines w:val="0"/>
              <w:pageBreakBefore w:val="0"/>
              <w:widowControl/>
              <w:kinsoku/>
              <w:wordWrap/>
              <w:overflowPunct/>
              <w:topLinePunct w:val="0"/>
              <w:autoSpaceDE/>
              <w:bidi w:val="0"/>
              <w:adjustRightInd/>
              <w:snapToGrid/>
              <w:spacing w:line="460" w:lineRule="exact"/>
              <w:rPr>
                <w:rFonts w:hint="eastAsia" w:ascii="仿宋" w:hAnsi="仿宋" w:eastAsia="仿宋" w:cs="仿宋"/>
                <w:bCs/>
                <w:sz w:val="32"/>
                <w:szCs w:val="32"/>
                <w:lang w:val="en-US" w:eastAsia="zh-CN"/>
              </w:rPr>
            </w:pPr>
          </w:p>
          <w:p w14:paraId="30971B7F">
            <w:pPr>
              <w:keepNext w:val="0"/>
              <w:keepLines w:val="0"/>
              <w:pageBreakBefore w:val="0"/>
              <w:kinsoku/>
              <w:wordWrap/>
              <w:overflowPunct/>
              <w:topLinePunct w:val="0"/>
              <w:autoSpaceDE/>
              <w:bidi w:val="0"/>
              <w:adjustRightInd/>
              <w:snapToGrid/>
              <w:spacing w:line="460" w:lineRule="exact"/>
              <w:rPr>
                <w:rFonts w:eastAsia="楷体_GB2312"/>
                <w:bCs/>
                <w:sz w:val="28"/>
                <w:szCs w:val="28"/>
              </w:rPr>
            </w:pPr>
          </w:p>
        </w:tc>
      </w:tr>
    </w:tbl>
    <w:p w14:paraId="4F3671D8">
      <w:pPr>
        <w:spacing w:before="602" w:beforeLines="100" w:after="602" w:afterLines="100"/>
        <w:jc w:val="center"/>
        <w:rPr>
          <w:rFonts w:hint="eastAsia" w:ascii="方正小标宋简体" w:eastAsia="方正小标宋简体"/>
          <w:sz w:val="38"/>
          <w:szCs w:val="38"/>
        </w:rPr>
      </w:pPr>
    </w:p>
    <w:p w14:paraId="4C4BC683">
      <w:pPr>
        <w:spacing w:before="602" w:beforeLines="100" w:after="602" w:afterLines="100"/>
        <w:jc w:val="center"/>
        <w:rPr>
          <w:rFonts w:hint="eastAsia" w:ascii="方正小标宋简体" w:eastAsia="方正小标宋简体"/>
          <w:sz w:val="38"/>
          <w:szCs w:val="38"/>
        </w:rPr>
      </w:pPr>
    </w:p>
    <w:p w14:paraId="63A47384">
      <w:pPr>
        <w:spacing w:before="602" w:beforeLines="100" w:after="602" w:afterLines="100"/>
        <w:jc w:val="center"/>
        <w:rPr>
          <w:rFonts w:ascii="方正小标宋简体" w:eastAsia="方正小标宋简体"/>
          <w:sz w:val="38"/>
          <w:szCs w:val="38"/>
        </w:rPr>
      </w:pPr>
      <w:bookmarkStart w:id="0" w:name="_GoBack"/>
      <w:bookmarkEnd w:id="0"/>
      <w:r>
        <w:rPr>
          <w:rFonts w:hint="eastAsia" w:ascii="方正小标宋简体" w:eastAsia="方正小标宋简体"/>
          <w:sz w:val="38"/>
          <w:szCs w:val="38"/>
        </w:rPr>
        <w:t>部门整体支出绩效评价评分表</w:t>
      </w:r>
    </w:p>
    <w:tbl>
      <w:tblPr>
        <w:tblStyle w:val="3"/>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5432F44F">
        <w:tblPrEx>
          <w:tblCellMar>
            <w:top w:w="0" w:type="dxa"/>
            <w:left w:w="108" w:type="dxa"/>
            <w:bottom w:w="0" w:type="dxa"/>
            <w:right w:w="108" w:type="dxa"/>
          </w:tblCellMar>
        </w:tblPrEx>
        <w:trPr>
          <w:trHeight w:val="525"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4394A8">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shd w:val="clear" w:color="auto" w:fill="auto"/>
            <w:noWrap w:val="0"/>
            <w:vAlign w:val="center"/>
          </w:tcPr>
          <w:p w14:paraId="34F8EB9F">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noWrap w:val="0"/>
            <w:vAlign w:val="center"/>
          </w:tcPr>
          <w:p w14:paraId="75A6E4CF">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noWrap w:val="0"/>
            <w:vAlign w:val="center"/>
          </w:tcPr>
          <w:p w14:paraId="06791640">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noWrap w:val="0"/>
            <w:vAlign w:val="center"/>
          </w:tcPr>
          <w:p w14:paraId="37F2B288">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noWrap w:val="0"/>
            <w:vAlign w:val="center"/>
          </w:tcPr>
          <w:p w14:paraId="5CB66A7F">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noWrap w:val="0"/>
            <w:vAlign w:val="center"/>
          </w:tcPr>
          <w:p w14:paraId="42B5C638">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14:paraId="701344DA">
        <w:tblPrEx>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noWrap w:val="0"/>
            <w:vAlign w:val="center"/>
          </w:tcPr>
          <w:p w14:paraId="07B99470">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投  入</w:t>
            </w:r>
          </w:p>
          <w:p w14:paraId="23CEDBB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939" w:type="dxa"/>
            <w:vMerge w:val="restart"/>
            <w:tcBorders>
              <w:top w:val="nil"/>
              <w:left w:val="single" w:color="auto" w:sz="4" w:space="0"/>
              <w:bottom w:val="single" w:color="auto" w:sz="4" w:space="0"/>
              <w:right w:val="single" w:color="auto" w:sz="4" w:space="0"/>
            </w:tcBorders>
            <w:noWrap w:val="0"/>
            <w:vAlign w:val="center"/>
          </w:tcPr>
          <w:p w14:paraId="4A4D8EAD">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预算配置</w:t>
            </w:r>
          </w:p>
          <w:p w14:paraId="48B2C30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noWrap w:val="0"/>
            <w:vAlign w:val="center"/>
          </w:tcPr>
          <w:p w14:paraId="36BD9EE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14:paraId="5CE45D05">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noWrap w:val="0"/>
            <w:vAlign w:val="center"/>
          </w:tcPr>
          <w:p w14:paraId="14F516C6">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以100%为标准。在职人员控制率</w:t>
            </w:r>
            <w:r>
              <w:rPr>
                <w:rFonts w:hint="eastAsia" w:ascii="宋体" w:hAnsi="宋体" w:cs="宋体"/>
                <w:kern w:val="0"/>
                <w:sz w:val="18"/>
                <w:szCs w:val="18"/>
              </w:rPr>
              <w:t>≦</w:t>
            </w:r>
            <w:r>
              <w:rPr>
                <w:rFonts w:hint="eastAsia" w:ascii="仿宋_GB2312" w:hAnsi="宋体" w:eastAsia="仿宋_GB2312" w:cs="宋体"/>
                <w:kern w:val="0"/>
                <w:sz w:val="18"/>
                <w:szCs w:val="18"/>
              </w:rPr>
              <w:t>100%，计5分；每超过一个百分点扣0.5分，扣完为止。</w:t>
            </w:r>
          </w:p>
        </w:tc>
        <w:tc>
          <w:tcPr>
            <w:tcW w:w="619" w:type="dxa"/>
            <w:tcBorders>
              <w:top w:val="nil"/>
              <w:left w:val="nil"/>
              <w:bottom w:val="single" w:color="auto" w:sz="4" w:space="0"/>
              <w:right w:val="single" w:color="auto" w:sz="4" w:space="0"/>
            </w:tcBorders>
            <w:noWrap w:val="0"/>
            <w:vAlign w:val="center"/>
          </w:tcPr>
          <w:p w14:paraId="089116E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14:paraId="3EF0ED11">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w:t>
            </w:r>
          </w:p>
        </w:tc>
        <w:tc>
          <w:tcPr>
            <w:tcW w:w="1080" w:type="dxa"/>
            <w:tcBorders>
              <w:top w:val="nil"/>
              <w:left w:val="nil"/>
              <w:bottom w:val="single" w:color="auto" w:sz="4" w:space="0"/>
              <w:right w:val="single" w:color="auto" w:sz="4" w:space="0"/>
            </w:tcBorders>
            <w:noWrap w:val="0"/>
            <w:vAlign w:val="center"/>
          </w:tcPr>
          <w:p w14:paraId="2151AF62">
            <w:pPr>
              <w:widowControl/>
              <w:spacing w:line="240" w:lineRule="exact"/>
              <w:jc w:val="left"/>
              <w:rPr>
                <w:rFonts w:ascii="仿宋_GB2312" w:hAnsi="宋体" w:eastAsia="仿宋_GB2312" w:cs="宋体"/>
                <w:color w:val="000000"/>
                <w:kern w:val="0"/>
                <w:sz w:val="18"/>
                <w:szCs w:val="18"/>
              </w:rPr>
            </w:pPr>
          </w:p>
        </w:tc>
      </w:tr>
      <w:tr w14:paraId="1C0099BA">
        <w:tblPrEx>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3F9BB53C">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14:paraId="3DCB22DB">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14:paraId="7E3AD841">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“三公经费”</w:t>
            </w:r>
          </w:p>
          <w:p w14:paraId="6D27BAB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noWrap w:val="0"/>
            <w:vAlign w:val="center"/>
          </w:tcPr>
          <w:p w14:paraId="19844133">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hint="eastAsia" w:ascii="仿宋_GB2312" w:hAnsi="宋体" w:eastAsia="仿宋_GB2312" w:cs="宋体"/>
                <w:kern w:val="0"/>
                <w:sz w:val="18"/>
                <w:szCs w:val="18"/>
              </w:rPr>
              <w:t>0,计5分；</w:t>
            </w:r>
          </w:p>
          <w:p w14:paraId="1438771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“三公经费”＞0，每超过一个百分点扣0.5分，扣完为止。</w:t>
            </w:r>
          </w:p>
        </w:tc>
        <w:tc>
          <w:tcPr>
            <w:tcW w:w="619" w:type="dxa"/>
            <w:tcBorders>
              <w:top w:val="nil"/>
              <w:left w:val="nil"/>
              <w:bottom w:val="single" w:color="auto" w:sz="4" w:space="0"/>
              <w:right w:val="single" w:color="auto" w:sz="4" w:space="0"/>
            </w:tcBorders>
            <w:noWrap w:val="0"/>
            <w:vAlign w:val="center"/>
          </w:tcPr>
          <w:p w14:paraId="597E52D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14:paraId="00CC86EA">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w:t>
            </w:r>
          </w:p>
        </w:tc>
        <w:tc>
          <w:tcPr>
            <w:tcW w:w="1080" w:type="dxa"/>
            <w:tcBorders>
              <w:top w:val="nil"/>
              <w:left w:val="nil"/>
              <w:bottom w:val="single" w:color="auto" w:sz="4" w:space="0"/>
              <w:right w:val="single" w:color="auto" w:sz="4" w:space="0"/>
            </w:tcBorders>
            <w:noWrap w:val="0"/>
            <w:vAlign w:val="center"/>
          </w:tcPr>
          <w:p w14:paraId="4155AB66">
            <w:pPr>
              <w:widowControl/>
              <w:spacing w:line="240" w:lineRule="exact"/>
              <w:jc w:val="left"/>
              <w:rPr>
                <w:rFonts w:ascii="仿宋_GB2312" w:hAnsi="宋体" w:eastAsia="仿宋_GB2312" w:cs="宋体"/>
                <w:color w:val="000000"/>
                <w:kern w:val="0"/>
                <w:sz w:val="18"/>
                <w:szCs w:val="18"/>
              </w:rPr>
            </w:pPr>
          </w:p>
        </w:tc>
      </w:tr>
      <w:tr w14:paraId="097976B1">
        <w:tblPrEx>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70A10B14">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14:paraId="189C7C75">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14:paraId="3453F6AB">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重点支出</w:t>
            </w:r>
          </w:p>
          <w:p w14:paraId="28A83DF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noWrap w:val="0"/>
            <w:vAlign w:val="center"/>
          </w:tcPr>
          <w:p w14:paraId="25AB416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重点支出安排率≥90%，计5分；80%（含）-90%，计4分；70%（含）-80%，计3分；60%（含）-70%，计2分；低于60%不得分。</w:t>
            </w:r>
          </w:p>
        </w:tc>
        <w:tc>
          <w:tcPr>
            <w:tcW w:w="619" w:type="dxa"/>
            <w:tcBorders>
              <w:top w:val="nil"/>
              <w:left w:val="nil"/>
              <w:bottom w:val="single" w:color="auto" w:sz="4" w:space="0"/>
              <w:right w:val="single" w:color="auto" w:sz="4" w:space="0"/>
            </w:tcBorders>
            <w:noWrap w:val="0"/>
            <w:vAlign w:val="center"/>
          </w:tcPr>
          <w:p w14:paraId="4DBCC16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14:paraId="7E6C8F32">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w:t>
            </w:r>
          </w:p>
        </w:tc>
        <w:tc>
          <w:tcPr>
            <w:tcW w:w="1080" w:type="dxa"/>
            <w:tcBorders>
              <w:top w:val="nil"/>
              <w:left w:val="nil"/>
              <w:bottom w:val="single" w:color="auto" w:sz="4" w:space="0"/>
              <w:right w:val="single" w:color="auto" w:sz="4" w:space="0"/>
            </w:tcBorders>
            <w:noWrap w:val="0"/>
            <w:vAlign w:val="center"/>
          </w:tcPr>
          <w:p w14:paraId="5452828C">
            <w:pPr>
              <w:widowControl/>
              <w:spacing w:line="240" w:lineRule="exact"/>
              <w:jc w:val="left"/>
              <w:rPr>
                <w:rFonts w:ascii="仿宋_GB2312" w:hAnsi="宋体" w:eastAsia="仿宋_GB2312" w:cs="宋体"/>
                <w:color w:val="000000"/>
                <w:kern w:val="0"/>
                <w:sz w:val="18"/>
                <w:szCs w:val="18"/>
              </w:rPr>
            </w:pPr>
          </w:p>
        </w:tc>
      </w:tr>
      <w:tr w14:paraId="5AC23A9A">
        <w:tblPrEx>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noWrap w:val="0"/>
            <w:vAlign w:val="center"/>
          </w:tcPr>
          <w:p w14:paraId="242D8896">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过  程</w:t>
            </w:r>
          </w:p>
          <w:p w14:paraId="3EA993F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nil"/>
              <w:left w:val="single" w:color="auto" w:sz="4" w:space="0"/>
              <w:bottom w:val="single" w:color="auto" w:sz="4" w:space="0"/>
              <w:right w:val="single" w:color="auto" w:sz="4" w:space="0"/>
            </w:tcBorders>
            <w:noWrap w:val="0"/>
            <w:vAlign w:val="center"/>
          </w:tcPr>
          <w:p w14:paraId="0EB02407">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预算执行</w:t>
            </w:r>
          </w:p>
          <w:p w14:paraId="604D5FF5">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noWrap w:val="0"/>
            <w:vAlign w:val="center"/>
          </w:tcPr>
          <w:p w14:paraId="1042317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noWrap w:val="0"/>
            <w:vAlign w:val="center"/>
          </w:tcPr>
          <w:p w14:paraId="256D3DFF">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预算调整率=0，计3分；0-10%（含），计2分；10-20%（含），计1分；20-30%（含），计0.5分；大于30%不得分。</w:t>
            </w:r>
          </w:p>
        </w:tc>
        <w:tc>
          <w:tcPr>
            <w:tcW w:w="619" w:type="dxa"/>
            <w:tcBorders>
              <w:top w:val="nil"/>
              <w:left w:val="nil"/>
              <w:bottom w:val="single" w:color="auto" w:sz="4" w:space="0"/>
              <w:right w:val="single" w:color="auto" w:sz="4" w:space="0"/>
            </w:tcBorders>
            <w:noWrap w:val="0"/>
            <w:vAlign w:val="center"/>
          </w:tcPr>
          <w:p w14:paraId="145AB2D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14:paraId="45F8A0CC">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noWrap w:val="0"/>
            <w:vAlign w:val="center"/>
          </w:tcPr>
          <w:p w14:paraId="31A99EB7">
            <w:pPr>
              <w:widowControl/>
              <w:spacing w:line="240" w:lineRule="exact"/>
              <w:jc w:val="center"/>
              <w:rPr>
                <w:rFonts w:ascii="仿宋_GB2312" w:hAnsi="宋体" w:eastAsia="仿宋_GB2312" w:cs="宋体"/>
                <w:color w:val="000000"/>
                <w:kern w:val="0"/>
                <w:sz w:val="18"/>
                <w:szCs w:val="18"/>
              </w:rPr>
            </w:pPr>
          </w:p>
        </w:tc>
      </w:tr>
      <w:tr w14:paraId="66C04EDA">
        <w:tblPrEx>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4CA96832">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14:paraId="25D40115">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14:paraId="158B60E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noWrap w:val="0"/>
            <w:vAlign w:val="center"/>
          </w:tcPr>
          <w:p w14:paraId="3BEDCD20">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春节前下达全部专项资金的50%；6月底前所有专项资金指标全部下达完。</w:t>
            </w:r>
          </w:p>
          <w:p w14:paraId="6852E36D">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每出现一个专项未按进度完成资金下达扣0.5分，扣完为止。</w:t>
            </w:r>
          </w:p>
        </w:tc>
        <w:tc>
          <w:tcPr>
            <w:tcW w:w="619" w:type="dxa"/>
            <w:tcBorders>
              <w:top w:val="nil"/>
              <w:left w:val="nil"/>
              <w:bottom w:val="single" w:color="auto" w:sz="4" w:space="0"/>
              <w:right w:val="single" w:color="auto" w:sz="4" w:space="0"/>
            </w:tcBorders>
            <w:noWrap w:val="0"/>
            <w:vAlign w:val="center"/>
          </w:tcPr>
          <w:p w14:paraId="1EDD3135">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14:paraId="372945BB">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noWrap w:val="0"/>
            <w:vAlign w:val="center"/>
          </w:tcPr>
          <w:p w14:paraId="2CC5E6D9">
            <w:pPr>
              <w:widowControl/>
              <w:spacing w:line="240" w:lineRule="exact"/>
              <w:jc w:val="center"/>
              <w:rPr>
                <w:rFonts w:ascii="仿宋_GB2312" w:hAnsi="宋体" w:eastAsia="仿宋_GB2312" w:cs="宋体"/>
                <w:color w:val="000000"/>
                <w:kern w:val="0"/>
                <w:sz w:val="18"/>
                <w:szCs w:val="18"/>
              </w:rPr>
            </w:pPr>
          </w:p>
        </w:tc>
      </w:tr>
      <w:tr w14:paraId="0A998BC5">
        <w:tblPrEx>
          <w:tblCellMar>
            <w:top w:w="0" w:type="dxa"/>
            <w:left w:w="108" w:type="dxa"/>
            <w:bottom w:w="0" w:type="dxa"/>
            <w:right w:w="108" w:type="dxa"/>
          </w:tblCellMar>
        </w:tblPrEx>
        <w:trPr>
          <w:trHeight w:val="619"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45452899">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14:paraId="144A96D0">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14:paraId="0C0C283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noWrap w:val="0"/>
            <w:vAlign w:val="center"/>
          </w:tcPr>
          <w:p w14:paraId="6B64ADF1">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无结余，3分；有结余，但不超过上年结转，2分；结余超过上年结转，不得分。</w:t>
            </w:r>
          </w:p>
        </w:tc>
        <w:tc>
          <w:tcPr>
            <w:tcW w:w="619" w:type="dxa"/>
            <w:tcBorders>
              <w:top w:val="nil"/>
              <w:left w:val="nil"/>
              <w:bottom w:val="single" w:color="auto" w:sz="4" w:space="0"/>
              <w:right w:val="single" w:color="auto" w:sz="4" w:space="0"/>
            </w:tcBorders>
            <w:noWrap w:val="0"/>
            <w:vAlign w:val="center"/>
          </w:tcPr>
          <w:p w14:paraId="2946D16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14:paraId="0D0DBD32">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2</w:t>
            </w:r>
          </w:p>
        </w:tc>
        <w:tc>
          <w:tcPr>
            <w:tcW w:w="1080" w:type="dxa"/>
            <w:tcBorders>
              <w:top w:val="nil"/>
              <w:left w:val="nil"/>
              <w:bottom w:val="single" w:color="auto" w:sz="4" w:space="0"/>
              <w:right w:val="single" w:color="auto" w:sz="4" w:space="0"/>
            </w:tcBorders>
            <w:noWrap w:val="0"/>
            <w:vAlign w:val="center"/>
          </w:tcPr>
          <w:p w14:paraId="08C6FD6B">
            <w:pPr>
              <w:widowControl/>
              <w:spacing w:line="240" w:lineRule="exact"/>
              <w:jc w:val="center"/>
              <w:rPr>
                <w:rFonts w:ascii="仿宋_GB2312" w:hAnsi="宋体" w:eastAsia="仿宋_GB2312" w:cs="宋体"/>
                <w:color w:val="000000"/>
                <w:kern w:val="0"/>
                <w:sz w:val="18"/>
                <w:szCs w:val="18"/>
              </w:rPr>
            </w:pPr>
          </w:p>
        </w:tc>
      </w:tr>
      <w:tr w14:paraId="4535B8B2">
        <w:tblPrEx>
          <w:tblCellMar>
            <w:top w:w="0" w:type="dxa"/>
            <w:left w:w="108" w:type="dxa"/>
            <w:bottom w:w="0" w:type="dxa"/>
            <w:right w:w="108" w:type="dxa"/>
          </w:tblCellMar>
        </w:tblPrEx>
        <w:trPr>
          <w:trHeight w:val="495"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0C25B051">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14:paraId="7136441F">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14:paraId="3E7FF5F7">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“三公经费”</w:t>
            </w:r>
          </w:p>
          <w:p w14:paraId="0AECAE8A">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noWrap w:val="0"/>
            <w:vAlign w:val="center"/>
          </w:tcPr>
          <w:p w14:paraId="10051761">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以100%为标准。三公经费控制率</w:t>
            </w:r>
            <w:r>
              <w:rPr>
                <w:rFonts w:hint="eastAsia" w:ascii="宋体" w:hAnsi="宋体" w:cs="宋体"/>
                <w:kern w:val="0"/>
                <w:sz w:val="18"/>
                <w:szCs w:val="18"/>
              </w:rPr>
              <w:t>≦</w:t>
            </w:r>
            <w:r>
              <w:rPr>
                <w:rFonts w:hint="eastAsia" w:ascii="仿宋_GB2312" w:hAnsi="宋体" w:eastAsia="仿宋_GB2312" w:cs="宋体"/>
                <w:kern w:val="0"/>
                <w:sz w:val="18"/>
                <w:szCs w:val="18"/>
              </w:rPr>
              <w:t>100%，计6分；</w:t>
            </w:r>
          </w:p>
          <w:p w14:paraId="45FB8181">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每超过一个百分点扣1分，扣完为止。</w:t>
            </w:r>
          </w:p>
        </w:tc>
        <w:tc>
          <w:tcPr>
            <w:tcW w:w="619" w:type="dxa"/>
            <w:tcBorders>
              <w:top w:val="nil"/>
              <w:left w:val="nil"/>
              <w:bottom w:val="single" w:color="auto" w:sz="4" w:space="0"/>
              <w:right w:val="single" w:color="auto" w:sz="4" w:space="0"/>
            </w:tcBorders>
            <w:noWrap w:val="0"/>
            <w:vAlign w:val="center"/>
          </w:tcPr>
          <w:p w14:paraId="2069507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noWrap w:val="0"/>
            <w:vAlign w:val="center"/>
          </w:tcPr>
          <w:p w14:paraId="61EABF7E">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6</w:t>
            </w:r>
          </w:p>
        </w:tc>
        <w:tc>
          <w:tcPr>
            <w:tcW w:w="1080" w:type="dxa"/>
            <w:tcBorders>
              <w:top w:val="nil"/>
              <w:left w:val="nil"/>
              <w:bottom w:val="single" w:color="auto" w:sz="4" w:space="0"/>
              <w:right w:val="single" w:color="auto" w:sz="4" w:space="0"/>
            </w:tcBorders>
            <w:noWrap w:val="0"/>
            <w:vAlign w:val="center"/>
          </w:tcPr>
          <w:p w14:paraId="05F8CC76">
            <w:pPr>
              <w:widowControl/>
              <w:spacing w:line="240" w:lineRule="exact"/>
              <w:jc w:val="center"/>
              <w:rPr>
                <w:rFonts w:ascii="仿宋_GB2312" w:hAnsi="宋体" w:eastAsia="仿宋_GB2312" w:cs="宋体"/>
                <w:color w:val="000000"/>
                <w:kern w:val="0"/>
                <w:sz w:val="18"/>
                <w:szCs w:val="18"/>
              </w:rPr>
            </w:pPr>
          </w:p>
        </w:tc>
      </w:tr>
      <w:tr w14:paraId="64D72051">
        <w:tblPrEx>
          <w:tblCellMar>
            <w:top w:w="0" w:type="dxa"/>
            <w:left w:w="108" w:type="dxa"/>
            <w:bottom w:w="0" w:type="dxa"/>
            <w:right w:w="108" w:type="dxa"/>
          </w:tblCellMar>
        </w:tblPrEx>
        <w:trPr>
          <w:trHeight w:val="915"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1F86FA9C">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noWrap w:val="0"/>
            <w:vAlign w:val="center"/>
          </w:tcPr>
          <w:p w14:paraId="41CFE731">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预算管理</w:t>
            </w:r>
          </w:p>
          <w:p w14:paraId="238FEC4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noWrap w:val="0"/>
            <w:vAlign w:val="center"/>
          </w:tcPr>
          <w:p w14:paraId="6E0148EB">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管理制度</w:t>
            </w:r>
          </w:p>
          <w:p w14:paraId="64F71A62">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noWrap w:val="0"/>
            <w:vAlign w:val="center"/>
          </w:tcPr>
          <w:p w14:paraId="05BAAAA4">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①已制定或具有预算资金管理办法，内部财务管理制度、会计核算制度等管理制度，1分；</w:t>
            </w:r>
          </w:p>
          <w:p w14:paraId="37BD2E9B">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②相关管理制度合法、合规、完整，1分；</w:t>
            </w:r>
          </w:p>
          <w:p w14:paraId="21F3FEA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③相关管理制度得到有效执行，1分。</w:t>
            </w:r>
          </w:p>
        </w:tc>
        <w:tc>
          <w:tcPr>
            <w:tcW w:w="619" w:type="dxa"/>
            <w:tcBorders>
              <w:top w:val="nil"/>
              <w:left w:val="nil"/>
              <w:bottom w:val="single" w:color="auto" w:sz="4" w:space="0"/>
              <w:right w:val="single" w:color="auto" w:sz="4" w:space="0"/>
            </w:tcBorders>
            <w:noWrap w:val="0"/>
            <w:vAlign w:val="center"/>
          </w:tcPr>
          <w:p w14:paraId="63DB770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14:paraId="7D45FC03">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noWrap w:val="0"/>
            <w:vAlign w:val="center"/>
          </w:tcPr>
          <w:p w14:paraId="7D3D0082">
            <w:pPr>
              <w:widowControl/>
              <w:spacing w:line="240" w:lineRule="exact"/>
              <w:jc w:val="center"/>
              <w:rPr>
                <w:rFonts w:ascii="仿宋_GB2312" w:hAnsi="宋体" w:eastAsia="仿宋_GB2312" w:cs="宋体"/>
                <w:color w:val="000000"/>
                <w:kern w:val="0"/>
                <w:sz w:val="18"/>
                <w:szCs w:val="18"/>
              </w:rPr>
            </w:pPr>
          </w:p>
        </w:tc>
      </w:tr>
      <w:tr w14:paraId="74D97DA0">
        <w:tblPrEx>
          <w:tblCellMar>
            <w:top w:w="0" w:type="dxa"/>
            <w:left w:w="108" w:type="dxa"/>
            <w:bottom w:w="0" w:type="dxa"/>
            <w:right w:w="108" w:type="dxa"/>
          </w:tblCellMar>
        </w:tblPrEx>
        <w:trPr>
          <w:trHeight w:val="1802"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170EE6A7">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14:paraId="2EBAF1EE">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14:paraId="6D8AFFF8">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资金使用</w:t>
            </w:r>
          </w:p>
          <w:p w14:paraId="27A2F2F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noWrap w:val="0"/>
            <w:vAlign w:val="center"/>
          </w:tcPr>
          <w:p w14:paraId="37983912">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p>
          <w:p w14:paraId="0D4E9D2D">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②资金拨付有完整的审批程序和手续；</w:t>
            </w:r>
          </w:p>
          <w:p w14:paraId="312405D3">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③项目支出按规定经过评估论证；</w:t>
            </w:r>
          </w:p>
          <w:p w14:paraId="3429B018">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④支出符合部门预算批复的用途；</w:t>
            </w:r>
          </w:p>
          <w:p w14:paraId="17BA78FE">
            <w:pPr>
              <w:widowControl/>
              <w:spacing w:line="240" w:lineRule="exact"/>
              <w:jc w:val="left"/>
              <w:rPr>
                <w:rFonts w:hint="eastAsia" w:ascii="仿宋_GB2312" w:hAnsi="宋体" w:eastAsia="仿宋_GB2312" w:cs="宋体"/>
                <w:spacing w:val="-6"/>
                <w:kern w:val="0"/>
                <w:sz w:val="18"/>
                <w:szCs w:val="18"/>
              </w:rPr>
            </w:pPr>
            <w:r>
              <w:rPr>
                <w:rFonts w:hint="eastAsia" w:ascii="仿宋_GB2312" w:hAnsi="宋体" w:eastAsia="仿宋_GB2312" w:cs="宋体"/>
                <w:spacing w:val="-6"/>
                <w:kern w:val="0"/>
                <w:sz w:val="18"/>
                <w:szCs w:val="18"/>
              </w:rPr>
              <w:t>⑤资金使用无截留、挤占、挪用、虚列支出等情况。</w:t>
            </w:r>
          </w:p>
          <w:p w14:paraId="76A84CA6">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spacing w:val="-6"/>
                <w:kern w:val="0"/>
                <w:sz w:val="18"/>
                <w:szCs w:val="18"/>
              </w:rPr>
              <w:t>以上情况每出现一例不符合要求的扣1分，扣完为止。</w:t>
            </w:r>
          </w:p>
        </w:tc>
        <w:tc>
          <w:tcPr>
            <w:tcW w:w="619" w:type="dxa"/>
            <w:tcBorders>
              <w:top w:val="nil"/>
              <w:left w:val="nil"/>
              <w:bottom w:val="single" w:color="auto" w:sz="4" w:space="0"/>
              <w:right w:val="single" w:color="auto" w:sz="4" w:space="0"/>
            </w:tcBorders>
            <w:noWrap w:val="0"/>
            <w:vAlign w:val="center"/>
          </w:tcPr>
          <w:p w14:paraId="0616E55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noWrap w:val="0"/>
            <w:vAlign w:val="center"/>
          </w:tcPr>
          <w:p w14:paraId="35F39BA2">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noWrap w:val="0"/>
            <w:vAlign w:val="center"/>
          </w:tcPr>
          <w:p w14:paraId="4B3D79D2">
            <w:pPr>
              <w:widowControl/>
              <w:spacing w:line="240" w:lineRule="exact"/>
              <w:jc w:val="center"/>
              <w:rPr>
                <w:rFonts w:ascii="仿宋_GB2312" w:hAnsi="宋体" w:eastAsia="仿宋_GB2312" w:cs="宋体"/>
                <w:color w:val="000000"/>
                <w:kern w:val="0"/>
                <w:sz w:val="18"/>
                <w:szCs w:val="18"/>
              </w:rPr>
            </w:pPr>
          </w:p>
        </w:tc>
      </w:tr>
      <w:tr w14:paraId="18943C73">
        <w:tblPrEx>
          <w:tblCellMar>
            <w:top w:w="0" w:type="dxa"/>
            <w:left w:w="108" w:type="dxa"/>
            <w:bottom w:w="0" w:type="dxa"/>
            <w:right w:w="108" w:type="dxa"/>
          </w:tblCellMar>
        </w:tblPrEx>
        <w:trPr>
          <w:trHeight w:val="45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D834D1">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9C45F7">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4F72F9D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shd w:val="clear" w:color="auto" w:fill="auto"/>
            <w:noWrap w:val="0"/>
            <w:vAlign w:val="center"/>
          </w:tcPr>
          <w:p w14:paraId="57BB3694">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①按规定内容公开预决算信息，1分；</w:t>
            </w:r>
          </w:p>
          <w:p w14:paraId="3D9451EC">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②按规定时限公开预决算信息，0.5分；</w:t>
            </w:r>
          </w:p>
          <w:p w14:paraId="121A1F96">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③基础数据信息和会计信息资料真实，0.5分；</w:t>
            </w:r>
          </w:p>
          <w:p w14:paraId="73A5709C">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④基础数据信息和会计信息资料完整，0.5分；</w:t>
            </w:r>
          </w:p>
          <w:p w14:paraId="0B942519">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⑤基础数据信息和汇集信息资料准确，0.5分。                                            </w:t>
            </w:r>
          </w:p>
        </w:tc>
        <w:tc>
          <w:tcPr>
            <w:tcW w:w="619" w:type="dxa"/>
            <w:tcBorders>
              <w:top w:val="nil"/>
              <w:left w:val="nil"/>
              <w:bottom w:val="single" w:color="auto" w:sz="4" w:space="0"/>
              <w:right w:val="single" w:color="auto" w:sz="4" w:space="0"/>
            </w:tcBorders>
            <w:shd w:val="clear" w:color="auto" w:fill="auto"/>
            <w:noWrap w:val="0"/>
            <w:vAlign w:val="center"/>
          </w:tcPr>
          <w:p w14:paraId="6FCE973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14:paraId="7C60338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noWrap w:val="0"/>
            <w:vAlign w:val="center"/>
          </w:tcPr>
          <w:p w14:paraId="0E4FA9C5">
            <w:pPr>
              <w:widowControl/>
              <w:spacing w:line="240" w:lineRule="exact"/>
              <w:jc w:val="center"/>
              <w:rPr>
                <w:rFonts w:ascii="仿宋_GB2312" w:hAnsi="宋体" w:eastAsia="仿宋_GB2312" w:cs="宋体"/>
                <w:kern w:val="0"/>
                <w:sz w:val="18"/>
                <w:szCs w:val="18"/>
              </w:rPr>
            </w:pPr>
          </w:p>
        </w:tc>
      </w:tr>
      <w:tr w14:paraId="33D31F00">
        <w:tblPrEx>
          <w:tblCellMar>
            <w:top w:w="0" w:type="dxa"/>
            <w:left w:w="108" w:type="dxa"/>
            <w:bottom w:w="0" w:type="dxa"/>
            <w:right w:w="108" w:type="dxa"/>
          </w:tblCellMar>
        </w:tblPrEx>
        <w:trPr>
          <w:trHeight w:val="57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65895F">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shd w:val="clear" w:color="auto" w:fill="auto"/>
            <w:noWrap w:val="0"/>
            <w:vAlign w:val="center"/>
          </w:tcPr>
          <w:p w14:paraId="26892A4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shd w:val="clear" w:color="auto" w:fill="auto"/>
            <w:noWrap w:val="0"/>
            <w:vAlign w:val="center"/>
          </w:tcPr>
          <w:p w14:paraId="04FD0B8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政府采购</w:t>
            </w:r>
          </w:p>
          <w:p w14:paraId="47B59CA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shd w:val="clear" w:color="auto" w:fill="auto"/>
            <w:noWrap w:val="0"/>
            <w:vAlign w:val="center"/>
          </w:tcPr>
          <w:p w14:paraId="7EABF98A">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政府采购执行率等于100%的，得3分；</w:t>
            </w:r>
          </w:p>
          <w:p w14:paraId="3AB24729">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每减少一个百分点，扣0.2分，扣完为止。</w:t>
            </w:r>
          </w:p>
        </w:tc>
        <w:tc>
          <w:tcPr>
            <w:tcW w:w="619" w:type="dxa"/>
            <w:tcBorders>
              <w:top w:val="nil"/>
              <w:left w:val="nil"/>
              <w:bottom w:val="single" w:color="auto" w:sz="4" w:space="0"/>
              <w:right w:val="single" w:color="auto" w:sz="4" w:space="0"/>
            </w:tcBorders>
            <w:shd w:val="clear" w:color="auto" w:fill="auto"/>
            <w:noWrap w:val="0"/>
            <w:vAlign w:val="center"/>
          </w:tcPr>
          <w:p w14:paraId="2F78544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14:paraId="27FEC28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noWrap w:val="0"/>
            <w:vAlign w:val="center"/>
          </w:tcPr>
          <w:p w14:paraId="37580C36">
            <w:pPr>
              <w:widowControl/>
              <w:spacing w:line="240" w:lineRule="exact"/>
              <w:jc w:val="center"/>
              <w:rPr>
                <w:rFonts w:ascii="仿宋_GB2312" w:hAnsi="宋体" w:eastAsia="仿宋_GB2312" w:cs="宋体"/>
                <w:kern w:val="0"/>
                <w:sz w:val="18"/>
                <w:szCs w:val="18"/>
              </w:rPr>
            </w:pPr>
          </w:p>
        </w:tc>
      </w:tr>
      <w:tr w14:paraId="006ECDFF">
        <w:tblPrEx>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EF3B8E">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3284CD">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35F8F9F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shd w:val="clear" w:color="auto" w:fill="auto"/>
            <w:noWrap w:val="0"/>
            <w:vAlign w:val="center"/>
          </w:tcPr>
          <w:p w14:paraId="538FADA0">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公务卡刷卡率达50％以上的，得3分。</w:t>
            </w:r>
          </w:p>
          <w:p w14:paraId="69A044A4">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每减少一个百分点，扣0.2分，扣完为止。                                            </w:t>
            </w:r>
          </w:p>
        </w:tc>
        <w:tc>
          <w:tcPr>
            <w:tcW w:w="619" w:type="dxa"/>
            <w:tcBorders>
              <w:top w:val="nil"/>
              <w:left w:val="nil"/>
              <w:bottom w:val="single" w:color="auto" w:sz="4" w:space="0"/>
              <w:right w:val="single" w:color="auto" w:sz="4" w:space="0"/>
            </w:tcBorders>
            <w:shd w:val="clear" w:color="auto" w:fill="auto"/>
            <w:noWrap w:val="0"/>
            <w:vAlign w:val="center"/>
          </w:tcPr>
          <w:p w14:paraId="056D06C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14:paraId="6A1D0B9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noWrap w:val="0"/>
            <w:vAlign w:val="center"/>
          </w:tcPr>
          <w:p w14:paraId="3FBD734B">
            <w:pPr>
              <w:widowControl/>
              <w:spacing w:line="240" w:lineRule="exact"/>
              <w:jc w:val="center"/>
              <w:rPr>
                <w:rFonts w:ascii="仿宋_GB2312" w:hAnsi="宋体" w:eastAsia="仿宋_GB2312" w:cs="宋体"/>
                <w:kern w:val="0"/>
                <w:sz w:val="18"/>
                <w:szCs w:val="18"/>
              </w:rPr>
            </w:pPr>
          </w:p>
        </w:tc>
      </w:tr>
      <w:tr w14:paraId="5D413E8F">
        <w:tblPrEx>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A653617">
            <w:pPr>
              <w:widowControl/>
              <w:jc w:val="left"/>
              <w:rPr>
                <w:rFonts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shd w:val="clear" w:color="auto" w:fill="auto"/>
            <w:noWrap w:val="0"/>
            <w:vAlign w:val="center"/>
          </w:tcPr>
          <w:p w14:paraId="3ABD9CDB">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资产管理</w:t>
            </w:r>
          </w:p>
          <w:p w14:paraId="3E37905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（10分）</w:t>
            </w:r>
          </w:p>
        </w:tc>
        <w:tc>
          <w:tcPr>
            <w:tcW w:w="1389" w:type="dxa"/>
            <w:tcBorders>
              <w:top w:val="nil"/>
              <w:left w:val="nil"/>
              <w:bottom w:val="single" w:color="auto" w:sz="4" w:space="0"/>
              <w:right w:val="single" w:color="auto" w:sz="4" w:space="0"/>
            </w:tcBorders>
            <w:shd w:val="clear" w:color="auto" w:fill="auto"/>
            <w:noWrap w:val="0"/>
            <w:vAlign w:val="center"/>
          </w:tcPr>
          <w:p w14:paraId="426F4932">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管理制度</w:t>
            </w:r>
          </w:p>
          <w:p w14:paraId="5BC1A83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shd w:val="clear" w:color="auto" w:fill="auto"/>
            <w:noWrap w:val="0"/>
            <w:vAlign w:val="center"/>
          </w:tcPr>
          <w:p w14:paraId="24B96F8A">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①已制定或具有资产管理制度，且相关资产管理制度合法、合规、完整，2分；</w:t>
            </w:r>
          </w:p>
          <w:p w14:paraId="78AEA50D">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②相关资产管理制度得到有效执行，1分。                                           </w:t>
            </w:r>
          </w:p>
        </w:tc>
        <w:tc>
          <w:tcPr>
            <w:tcW w:w="619" w:type="dxa"/>
            <w:tcBorders>
              <w:top w:val="nil"/>
              <w:left w:val="nil"/>
              <w:bottom w:val="single" w:color="auto" w:sz="4" w:space="0"/>
              <w:right w:val="single" w:color="auto" w:sz="4" w:space="0"/>
            </w:tcBorders>
            <w:shd w:val="clear" w:color="auto" w:fill="auto"/>
            <w:noWrap w:val="0"/>
            <w:vAlign w:val="center"/>
          </w:tcPr>
          <w:p w14:paraId="66CCA28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14:paraId="21214E25">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noWrap w:val="0"/>
            <w:vAlign w:val="center"/>
          </w:tcPr>
          <w:p w14:paraId="70028425">
            <w:pPr>
              <w:widowControl/>
              <w:spacing w:line="240" w:lineRule="exact"/>
              <w:jc w:val="center"/>
              <w:rPr>
                <w:rFonts w:ascii="仿宋_GB2312" w:hAnsi="宋体" w:eastAsia="仿宋_GB2312" w:cs="宋体"/>
                <w:kern w:val="0"/>
                <w:sz w:val="18"/>
                <w:szCs w:val="18"/>
              </w:rPr>
            </w:pPr>
          </w:p>
        </w:tc>
      </w:tr>
    </w:tbl>
    <w:p w14:paraId="51CEE892"/>
    <w:tbl>
      <w:tblPr>
        <w:tblStyle w:val="3"/>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1125F6DA">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131F20">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级指标</w:t>
            </w:r>
          </w:p>
        </w:tc>
        <w:tc>
          <w:tcPr>
            <w:tcW w:w="9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54E6A3">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noWrap w:val="0"/>
            <w:vAlign w:val="center"/>
          </w:tcPr>
          <w:p w14:paraId="22CAD995">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noWrap w:val="0"/>
            <w:vAlign w:val="center"/>
          </w:tcPr>
          <w:p w14:paraId="46B19E2F">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noWrap w:val="0"/>
            <w:vAlign w:val="center"/>
          </w:tcPr>
          <w:p w14:paraId="1AD81DB6">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noWrap w:val="0"/>
            <w:vAlign w:val="center"/>
          </w:tcPr>
          <w:p w14:paraId="49E02FC8">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noWrap w:val="0"/>
            <w:vAlign w:val="center"/>
          </w:tcPr>
          <w:p w14:paraId="7E8D662B">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14:paraId="6A4D4754">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BAC6FE5">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p>
          <w:p w14:paraId="1BA8D18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39C40433">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资产管理</w:t>
            </w:r>
          </w:p>
          <w:p w14:paraId="596FDAB2">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（10分）</w:t>
            </w:r>
          </w:p>
        </w:tc>
        <w:tc>
          <w:tcPr>
            <w:tcW w:w="1389" w:type="dxa"/>
            <w:tcBorders>
              <w:top w:val="single" w:color="auto" w:sz="4" w:space="0"/>
              <w:left w:val="nil"/>
              <w:bottom w:val="single" w:color="auto" w:sz="4" w:space="0"/>
              <w:right w:val="single" w:color="auto" w:sz="4" w:space="0"/>
            </w:tcBorders>
            <w:shd w:val="clear" w:color="auto" w:fill="auto"/>
            <w:noWrap w:val="0"/>
            <w:vAlign w:val="center"/>
          </w:tcPr>
          <w:p w14:paraId="2A5C53C5">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资产管理</w:t>
            </w:r>
          </w:p>
          <w:p w14:paraId="507878A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shd w:val="clear" w:color="auto" w:fill="auto"/>
            <w:noWrap w:val="0"/>
            <w:vAlign w:val="center"/>
          </w:tcPr>
          <w:p w14:paraId="0ECFD797">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p>
          <w:p w14:paraId="788A71B5">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②资产配置合理；</w:t>
            </w:r>
          </w:p>
          <w:p w14:paraId="67BC108D">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 xml:space="preserve">③资产处置规范； </w:t>
            </w:r>
          </w:p>
          <w:p w14:paraId="27C741E2">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④资产账务管理合规，帐实相符；</w:t>
            </w:r>
          </w:p>
          <w:p w14:paraId="4DDB4BAA">
            <w:pPr>
              <w:widowControl/>
              <w:spacing w:line="240" w:lineRule="exact"/>
              <w:jc w:val="left"/>
              <w:rPr>
                <w:rFonts w:hint="eastAsia" w:ascii="仿宋_GB2312" w:hAnsi="宋体" w:eastAsia="仿宋_GB2312" w:cs="宋体"/>
                <w:kern w:val="0"/>
                <w:sz w:val="18"/>
                <w:szCs w:val="18"/>
              </w:rPr>
            </w:pPr>
            <w:r>
              <w:rPr>
                <w:rFonts w:hint="eastAsia" w:ascii="仿宋_GB2312" w:hAnsi="宋体" w:eastAsia="仿宋_GB2312" w:cs="宋体"/>
                <w:kern w:val="0"/>
                <w:sz w:val="18"/>
                <w:szCs w:val="18"/>
              </w:rPr>
              <w:t>⑤资产有偿使用及处置收入及时足额上缴；</w:t>
            </w:r>
          </w:p>
          <w:p w14:paraId="29C89839">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以上情况每出现一例不符合有关要求的扣1分，扣完为止。</w:t>
            </w:r>
          </w:p>
        </w:tc>
        <w:tc>
          <w:tcPr>
            <w:tcW w:w="619" w:type="dxa"/>
            <w:tcBorders>
              <w:top w:val="single" w:color="auto" w:sz="4" w:space="0"/>
              <w:left w:val="nil"/>
              <w:bottom w:val="single" w:color="auto" w:sz="4" w:space="0"/>
              <w:right w:val="single" w:color="auto" w:sz="4" w:space="0"/>
            </w:tcBorders>
            <w:shd w:val="clear" w:color="auto" w:fill="auto"/>
            <w:noWrap w:val="0"/>
            <w:vAlign w:val="center"/>
          </w:tcPr>
          <w:p w14:paraId="21C382D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noWrap w:val="0"/>
            <w:vAlign w:val="center"/>
          </w:tcPr>
          <w:p w14:paraId="67CFFD9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1080" w:type="dxa"/>
            <w:tcBorders>
              <w:top w:val="single" w:color="auto" w:sz="4" w:space="0"/>
              <w:left w:val="nil"/>
              <w:bottom w:val="single" w:color="auto" w:sz="4" w:space="0"/>
              <w:right w:val="single" w:color="auto" w:sz="4" w:space="0"/>
            </w:tcBorders>
            <w:shd w:val="clear" w:color="auto" w:fill="FFFFFF"/>
            <w:noWrap w:val="0"/>
            <w:vAlign w:val="center"/>
          </w:tcPr>
          <w:p w14:paraId="453667E0">
            <w:pPr>
              <w:widowControl/>
              <w:spacing w:line="240" w:lineRule="exact"/>
              <w:jc w:val="center"/>
              <w:rPr>
                <w:rFonts w:ascii="仿宋_GB2312" w:hAnsi="宋体" w:eastAsia="仿宋_GB2312" w:cs="宋体"/>
                <w:kern w:val="0"/>
                <w:sz w:val="18"/>
                <w:szCs w:val="18"/>
              </w:rPr>
            </w:pPr>
          </w:p>
        </w:tc>
      </w:tr>
      <w:tr w14:paraId="60F1A749">
        <w:tblPrEx>
          <w:tblCellMar>
            <w:top w:w="0" w:type="dxa"/>
            <w:left w:w="108" w:type="dxa"/>
            <w:bottom w:w="0" w:type="dxa"/>
            <w:right w:w="108" w:type="dxa"/>
          </w:tblCellMar>
        </w:tblPrEx>
        <w:trPr>
          <w:trHeight w:val="774" w:hRule="atLeast"/>
          <w:jc w:val="center"/>
        </w:trPr>
        <w:tc>
          <w:tcPr>
            <w:tcW w:w="97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361876B">
            <w:pPr>
              <w:widowControl/>
              <w:jc w:val="left"/>
              <w:rPr>
                <w:rFonts w:ascii="仿宋_GB2312" w:hAnsi="宋体" w:eastAsia="仿宋_GB2312" w:cs="宋体"/>
                <w:kern w:val="0"/>
                <w:sz w:val="18"/>
                <w:szCs w:val="18"/>
              </w:rPr>
            </w:pPr>
          </w:p>
        </w:tc>
        <w:tc>
          <w:tcPr>
            <w:tcW w:w="93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8177A5C">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6B70BD44">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固定资产</w:t>
            </w:r>
          </w:p>
          <w:p w14:paraId="7F8B2FC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shd w:val="clear" w:color="auto" w:fill="auto"/>
            <w:noWrap w:val="0"/>
            <w:vAlign w:val="center"/>
          </w:tcPr>
          <w:p w14:paraId="181B0702">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每低于100%一个百分点扣0.1分，扣完为止。</w:t>
            </w:r>
          </w:p>
        </w:tc>
        <w:tc>
          <w:tcPr>
            <w:tcW w:w="619" w:type="dxa"/>
            <w:tcBorders>
              <w:top w:val="nil"/>
              <w:left w:val="nil"/>
              <w:bottom w:val="single" w:color="auto" w:sz="4" w:space="0"/>
              <w:right w:val="single" w:color="auto" w:sz="4" w:space="0"/>
            </w:tcBorders>
            <w:shd w:val="clear" w:color="auto" w:fill="auto"/>
            <w:noWrap w:val="0"/>
            <w:vAlign w:val="center"/>
          </w:tcPr>
          <w:p w14:paraId="7674D7E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noWrap w:val="0"/>
            <w:vAlign w:val="center"/>
          </w:tcPr>
          <w:p w14:paraId="746BDC2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noWrap w:val="0"/>
            <w:vAlign w:val="center"/>
          </w:tcPr>
          <w:p w14:paraId="17DEA83D">
            <w:pPr>
              <w:widowControl/>
              <w:spacing w:line="240" w:lineRule="exact"/>
              <w:jc w:val="center"/>
              <w:rPr>
                <w:rFonts w:ascii="仿宋_GB2312" w:hAnsi="宋体" w:eastAsia="仿宋_GB2312" w:cs="宋体"/>
                <w:kern w:val="0"/>
                <w:sz w:val="18"/>
                <w:szCs w:val="18"/>
              </w:rPr>
            </w:pPr>
          </w:p>
        </w:tc>
      </w:tr>
      <w:tr w14:paraId="3B0D7102">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noWrap w:val="0"/>
            <w:vAlign w:val="center"/>
          </w:tcPr>
          <w:p w14:paraId="42ABD70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  出（25分）</w:t>
            </w:r>
          </w:p>
        </w:tc>
        <w:tc>
          <w:tcPr>
            <w:tcW w:w="939" w:type="dxa"/>
            <w:vMerge w:val="restart"/>
            <w:tcBorders>
              <w:top w:val="nil"/>
              <w:left w:val="single" w:color="auto" w:sz="4" w:space="0"/>
              <w:bottom w:val="single" w:color="auto" w:sz="4" w:space="0"/>
              <w:right w:val="single" w:color="auto" w:sz="4" w:space="0"/>
            </w:tcBorders>
            <w:shd w:val="clear" w:color="auto" w:fill="auto"/>
            <w:noWrap w:val="0"/>
            <w:vAlign w:val="center"/>
          </w:tcPr>
          <w:p w14:paraId="4B35BD15">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职责履行</w:t>
            </w:r>
          </w:p>
          <w:p w14:paraId="333BAA0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（25分）</w:t>
            </w:r>
          </w:p>
        </w:tc>
        <w:tc>
          <w:tcPr>
            <w:tcW w:w="1389" w:type="dxa"/>
            <w:tcBorders>
              <w:top w:val="nil"/>
              <w:left w:val="nil"/>
              <w:bottom w:val="single" w:color="auto" w:sz="4" w:space="0"/>
              <w:right w:val="single" w:color="auto" w:sz="4" w:space="0"/>
            </w:tcBorders>
            <w:shd w:val="clear" w:color="auto" w:fill="auto"/>
            <w:noWrap w:val="0"/>
            <w:vAlign w:val="center"/>
          </w:tcPr>
          <w:p w14:paraId="5ED7B1A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shd w:val="clear" w:color="auto" w:fill="auto"/>
            <w:noWrap w:val="0"/>
            <w:vAlign w:val="center"/>
          </w:tcPr>
          <w:p w14:paraId="2F4F2B2F">
            <w:pPr>
              <w:widowControl/>
              <w:spacing w:line="240" w:lineRule="exact"/>
              <w:jc w:val="lef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根据岳县办发（2019年）1号《全面建成小康社会综合绩效考评实施方案》的通知折算</w:t>
            </w:r>
          </w:p>
        </w:tc>
        <w:tc>
          <w:tcPr>
            <w:tcW w:w="619" w:type="dxa"/>
            <w:tcBorders>
              <w:top w:val="nil"/>
              <w:left w:val="nil"/>
              <w:bottom w:val="single" w:color="auto" w:sz="4" w:space="0"/>
              <w:right w:val="single" w:color="auto" w:sz="4" w:space="0"/>
            </w:tcBorders>
            <w:shd w:val="clear" w:color="auto" w:fill="auto"/>
            <w:noWrap w:val="0"/>
            <w:vAlign w:val="center"/>
          </w:tcPr>
          <w:p w14:paraId="2460695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noWrap w:val="0"/>
            <w:vAlign w:val="center"/>
          </w:tcPr>
          <w:p w14:paraId="5539B05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noWrap w:val="0"/>
            <w:vAlign w:val="center"/>
          </w:tcPr>
          <w:p w14:paraId="57DD6570">
            <w:pPr>
              <w:widowControl/>
              <w:spacing w:line="240" w:lineRule="exact"/>
              <w:jc w:val="center"/>
              <w:rPr>
                <w:rFonts w:ascii="仿宋_GB2312" w:hAnsi="宋体" w:eastAsia="仿宋_GB2312" w:cs="宋体"/>
                <w:kern w:val="0"/>
                <w:sz w:val="18"/>
                <w:szCs w:val="18"/>
              </w:rPr>
            </w:pPr>
          </w:p>
        </w:tc>
      </w:tr>
      <w:tr w14:paraId="4751C061">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F79E280">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8E4F713">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58FDD5A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建设湖南新增及目标任务完成情况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80C6407">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14:paraId="7E5CD11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noWrap w:val="0"/>
            <w:vAlign w:val="center"/>
          </w:tcPr>
          <w:p w14:paraId="4B02008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1080" w:type="dxa"/>
            <w:tcBorders>
              <w:top w:val="nil"/>
              <w:left w:val="nil"/>
              <w:bottom w:val="single" w:color="auto" w:sz="4" w:space="0"/>
              <w:right w:val="single" w:color="auto" w:sz="4" w:space="0"/>
            </w:tcBorders>
            <w:shd w:val="clear" w:color="auto" w:fill="FFFFFF"/>
            <w:noWrap w:val="0"/>
            <w:vAlign w:val="center"/>
          </w:tcPr>
          <w:p w14:paraId="6C9516C1">
            <w:pPr>
              <w:widowControl/>
              <w:spacing w:line="240" w:lineRule="exact"/>
              <w:jc w:val="center"/>
              <w:rPr>
                <w:rFonts w:ascii="仿宋_GB2312" w:hAnsi="宋体" w:eastAsia="仿宋_GB2312" w:cs="宋体"/>
                <w:kern w:val="0"/>
                <w:sz w:val="18"/>
                <w:szCs w:val="18"/>
              </w:rPr>
            </w:pPr>
          </w:p>
        </w:tc>
      </w:tr>
      <w:tr w14:paraId="1704CFDE">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13487D">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B84B7A">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1BB1A5A5">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E761332">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14:paraId="11FB6A8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noWrap w:val="0"/>
            <w:vAlign w:val="center"/>
          </w:tcPr>
          <w:p w14:paraId="47235E2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noWrap w:val="0"/>
            <w:vAlign w:val="center"/>
          </w:tcPr>
          <w:p w14:paraId="218114F9">
            <w:pPr>
              <w:widowControl/>
              <w:spacing w:line="240" w:lineRule="exact"/>
              <w:jc w:val="center"/>
              <w:rPr>
                <w:rFonts w:ascii="仿宋_GB2312" w:hAnsi="宋体" w:eastAsia="仿宋_GB2312" w:cs="宋体"/>
                <w:kern w:val="0"/>
                <w:sz w:val="18"/>
                <w:szCs w:val="18"/>
              </w:rPr>
            </w:pPr>
          </w:p>
        </w:tc>
      </w:tr>
      <w:tr w14:paraId="31AA8DFA">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DEC22C">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09623C">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43A901C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省市县重点民生实事完成情况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7D5B067">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14:paraId="5E8C193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noWrap w:val="0"/>
            <w:vAlign w:val="center"/>
          </w:tcPr>
          <w:p w14:paraId="270BBA8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1080" w:type="dxa"/>
            <w:tcBorders>
              <w:top w:val="nil"/>
              <w:left w:val="nil"/>
              <w:bottom w:val="single" w:color="auto" w:sz="4" w:space="0"/>
              <w:right w:val="single" w:color="auto" w:sz="4" w:space="0"/>
            </w:tcBorders>
            <w:shd w:val="clear" w:color="auto" w:fill="FFFFFF"/>
            <w:noWrap w:val="0"/>
            <w:vAlign w:val="center"/>
          </w:tcPr>
          <w:p w14:paraId="3F8CD84E">
            <w:pPr>
              <w:widowControl/>
              <w:spacing w:line="240" w:lineRule="exact"/>
              <w:jc w:val="center"/>
              <w:rPr>
                <w:rFonts w:ascii="仿宋_GB2312" w:hAnsi="宋体" w:eastAsia="仿宋_GB2312" w:cs="宋体"/>
                <w:kern w:val="0"/>
                <w:sz w:val="18"/>
                <w:szCs w:val="18"/>
              </w:rPr>
            </w:pPr>
          </w:p>
        </w:tc>
      </w:tr>
      <w:tr w14:paraId="2A1F181A">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CBF7189">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49C1E0">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3BB74CB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省市县重点工程和重大项目建设完成情况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AAB67D">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14:paraId="671FA222">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noWrap w:val="0"/>
            <w:vAlign w:val="center"/>
          </w:tcPr>
          <w:p w14:paraId="065C7BD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1080" w:type="dxa"/>
            <w:tcBorders>
              <w:top w:val="nil"/>
              <w:left w:val="nil"/>
              <w:bottom w:val="single" w:color="auto" w:sz="4" w:space="0"/>
              <w:right w:val="single" w:color="auto" w:sz="4" w:space="0"/>
            </w:tcBorders>
            <w:shd w:val="clear" w:color="auto" w:fill="FFFFFF"/>
            <w:noWrap w:val="0"/>
            <w:vAlign w:val="center"/>
          </w:tcPr>
          <w:p w14:paraId="5A53AD8B">
            <w:pPr>
              <w:widowControl/>
              <w:spacing w:line="240" w:lineRule="exact"/>
              <w:jc w:val="center"/>
              <w:rPr>
                <w:rFonts w:ascii="仿宋_GB2312" w:hAnsi="宋体" w:eastAsia="仿宋_GB2312" w:cs="宋体"/>
                <w:kern w:val="0"/>
                <w:sz w:val="18"/>
                <w:szCs w:val="18"/>
              </w:rPr>
            </w:pPr>
          </w:p>
        </w:tc>
      </w:tr>
      <w:tr w14:paraId="20976BA5">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C0763E">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28DAAD">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300B7EEA">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71D350">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noWrap w:val="0"/>
            <w:vAlign w:val="center"/>
          </w:tcPr>
          <w:p w14:paraId="3E9D567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noWrap w:val="0"/>
            <w:vAlign w:val="center"/>
          </w:tcPr>
          <w:p w14:paraId="3DB327C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1080" w:type="dxa"/>
            <w:tcBorders>
              <w:top w:val="nil"/>
              <w:left w:val="nil"/>
              <w:bottom w:val="single" w:color="auto" w:sz="4" w:space="0"/>
              <w:right w:val="single" w:color="auto" w:sz="4" w:space="0"/>
            </w:tcBorders>
            <w:shd w:val="clear" w:color="auto" w:fill="FFFFFF"/>
            <w:noWrap w:val="0"/>
            <w:vAlign w:val="center"/>
          </w:tcPr>
          <w:p w14:paraId="046AEF3F">
            <w:pPr>
              <w:widowControl/>
              <w:spacing w:line="240" w:lineRule="exact"/>
              <w:jc w:val="center"/>
              <w:rPr>
                <w:rFonts w:ascii="仿宋_GB2312" w:hAnsi="宋体" w:eastAsia="仿宋_GB2312" w:cs="宋体"/>
                <w:kern w:val="0"/>
                <w:sz w:val="18"/>
                <w:szCs w:val="18"/>
              </w:rPr>
            </w:pPr>
          </w:p>
        </w:tc>
      </w:tr>
      <w:tr w14:paraId="3973CEDB">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noWrap w:val="0"/>
            <w:vAlign w:val="center"/>
          </w:tcPr>
          <w:p w14:paraId="33EAEC5B">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效  果</w:t>
            </w:r>
          </w:p>
          <w:p w14:paraId="664BE6A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（20分）</w:t>
            </w:r>
          </w:p>
        </w:tc>
        <w:tc>
          <w:tcPr>
            <w:tcW w:w="939" w:type="dxa"/>
            <w:vMerge w:val="restart"/>
            <w:tcBorders>
              <w:top w:val="nil"/>
              <w:left w:val="single" w:color="auto" w:sz="4" w:space="0"/>
              <w:bottom w:val="single" w:color="auto" w:sz="4" w:space="0"/>
              <w:right w:val="single" w:color="auto" w:sz="4" w:space="0"/>
            </w:tcBorders>
            <w:shd w:val="clear" w:color="auto" w:fill="auto"/>
            <w:noWrap w:val="0"/>
            <w:vAlign w:val="center"/>
          </w:tcPr>
          <w:p w14:paraId="6DA477C0">
            <w:pPr>
              <w:widowControl/>
              <w:spacing w:line="240" w:lineRule="exact"/>
              <w:jc w:val="center"/>
              <w:rPr>
                <w:rFonts w:hint="eastAsia" w:ascii="仿宋_GB2312" w:hAnsi="宋体" w:eastAsia="仿宋_GB2312" w:cs="宋体"/>
                <w:kern w:val="0"/>
                <w:sz w:val="18"/>
                <w:szCs w:val="18"/>
              </w:rPr>
            </w:pPr>
            <w:r>
              <w:rPr>
                <w:rFonts w:hint="eastAsia" w:ascii="仿宋_GB2312" w:hAnsi="宋体" w:eastAsia="仿宋_GB2312" w:cs="宋体"/>
                <w:kern w:val="0"/>
                <w:sz w:val="18"/>
                <w:szCs w:val="18"/>
              </w:rPr>
              <w:t>履职效益</w:t>
            </w:r>
          </w:p>
          <w:p w14:paraId="21A639A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（20分）</w:t>
            </w:r>
          </w:p>
        </w:tc>
        <w:tc>
          <w:tcPr>
            <w:tcW w:w="1389" w:type="dxa"/>
            <w:tcBorders>
              <w:top w:val="nil"/>
              <w:left w:val="nil"/>
              <w:bottom w:val="single" w:color="auto" w:sz="4" w:space="0"/>
              <w:right w:val="single" w:color="auto" w:sz="4" w:space="0"/>
            </w:tcBorders>
            <w:shd w:val="clear" w:color="auto" w:fill="auto"/>
            <w:noWrap w:val="0"/>
            <w:vAlign w:val="center"/>
          </w:tcPr>
          <w:p w14:paraId="654B3E72">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shd w:val="clear" w:color="auto" w:fill="auto"/>
            <w:noWrap w:val="0"/>
            <w:vAlign w:val="center"/>
          </w:tcPr>
          <w:p w14:paraId="11962F9F">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效益良好,计5分；</w:t>
            </w:r>
          </w:p>
          <w:p w14:paraId="1E831BA7">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效益一般，计3分；</w:t>
            </w:r>
          </w:p>
          <w:p w14:paraId="748B9C69">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无经济效益，计0分。</w:t>
            </w:r>
          </w:p>
        </w:tc>
        <w:tc>
          <w:tcPr>
            <w:tcW w:w="619" w:type="dxa"/>
            <w:vMerge w:val="restart"/>
            <w:tcBorders>
              <w:top w:val="nil"/>
              <w:left w:val="single" w:color="auto" w:sz="4" w:space="0"/>
              <w:bottom w:val="single" w:color="auto" w:sz="4" w:space="0"/>
              <w:right w:val="single" w:color="auto" w:sz="4" w:space="0"/>
            </w:tcBorders>
            <w:shd w:val="clear" w:color="auto" w:fill="auto"/>
            <w:noWrap w:val="0"/>
            <w:vAlign w:val="center"/>
          </w:tcPr>
          <w:p w14:paraId="3C44400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noWrap w:val="0"/>
            <w:vAlign w:val="center"/>
          </w:tcPr>
          <w:p w14:paraId="523845D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noWrap w:val="0"/>
            <w:vAlign w:val="center"/>
          </w:tcPr>
          <w:p w14:paraId="63680F10">
            <w:pPr>
              <w:widowControl/>
              <w:spacing w:line="240" w:lineRule="exact"/>
              <w:jc w:val="center"/>
              <w:rPr>
                <w:rFonts w:ascii="仿宋_GB2312" w:hAnsi="宋体" w:eastAsia="仿宋_GB2312" w:cs="宋体"/>
                <w:kern w:val="0"/>
                <w:sz w:val="18"/>
                <w:szCs w:val="18"/>
              </w:rPr>
            </w:pPr>
          </w:p>
        </w:tc>
      </w:tr>
      <w:tr w14:paraId="2A277F14">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122E60D">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2495C7">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7A0F3E1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67D1692">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FC79369">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noWrap w:val="0"/>
            <w:vAlign w:val="center"/>
          </w:tcPr>
          <w:p w14:paraId="71C38822">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noWrap w:val="0"/>
            <w:vAlign w:val="center"/>
          </w:tcPr>
          <w:p w14:paraId="19F40C96">
            <w:pPr>
              <w:widowControl/>
              <w:spacing w:line="240" w:lineRule="exact"/>
              <w:jc w:val="center"/>
              <w:rPr>
                <w:rFonts w:ascii="仿宋_GB2312" w:hAnsi="宋体" w:eastAsia="仿宋_GB2312" w:cs="宋体"/>
                <w:kern w:val="0"/>
                <w:sz w:val="18"/>
                <w:szCs w:val="18"/>
              </w:rPr>
            </w:pPr>
          </w:p>
        </w:tc>
      </w:tr>
      <w:tr w14:paraId="720303BC">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73E12B">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277156">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noWrap w:val="0"/>
            <w:vAlign w:val="center"/>
          </w:tcPr>
          <w:p w14:paraId="43D177E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5FC538">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C77C31">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noWrap w:val="0"/>
            <w:vAlign w:val="center"/>
          </w:tcPr>
          <w:p w14:paraId="668A27E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noWrap w:val="0"/>
            <w:vAlign w:val="center"/>
          </w:tcPr>
          <w:p w14:paraId="50686E57">
            <w:pPr>
              <w:widowControl/>
              <w:spacing w:line="240" w:lineRule="exact"/>
              <w:jc w:val="center"/>
              <w:rPr>
                <w:rFonts w:ascii="仿宋_GB2312" w:hAnsi="宋体" w:eastAsia="仿宋_GB2312" w:cs="宋体"/>
                <w:kern w:val="0"/>
                <w:sz w:val="18"/>
                <w:szCs w:val="18"/>
              </w:rPr>
            </w:pPr>
          </w:p>
        </w:tc>
      </w:tr>
      <w:tr w14:paraId="753AEF12">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noWrap w:val="0"/>
            <w:vAlign w:val="center"/>
          </w:tcPr>
          <w:p w14:paraId="39A27B2A">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noWrap w:val="0"/>
            <w:vAlign w:val="center"/>
          </w:tcPr>
          <w:p w14:paraId="7021439F">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noWrap w:val="0"/>
            <w:vAlign w:val="center"/>
          </w:tcPr>
          <w:p w14:paraId="74CC89B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noWrap w:val="0"/>
            <w:vAlign w:val="center"/>
          </w:tcPr>
          <w:p w14:paraId="68C40D4D">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95%（含）以上计5分；</w:t>
            </w:r>
          </w:p>
          <w:p w14:paraId="6F62B4B5">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85%（含）-95%，计3分；</w:t>
            </w:r>
          </w:p>
          <w:p w14:paraId="2A41820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75%（含）-85%，计1分；</w:t>
            </w:r>
          </w:p>
          <w:p w14:paraId="27B2FD56">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低于75%计0分。</w:t>
            </w:r>
          </w:p>
        </w:tc>
        <w:tc>
          <w:tcPr>
            <w:tcW w:w="619" w:type="dxa"/>
            <w:tcBorders>
              <w:top w:val="nil"/>
              <w:left w:val="nil"/>
              <w:bottom w:val="single" w:color="auto" w:sz="4" w:space="0"/>
              <w:right w:val="single" w:color="auto" w:sz="4" w:space="0"/>
            </w:tcBorders>
            <w:noWrap w:val="0"/>
            <w:vAlign w:val="center"/>
          </w:tcPr>
          <w:p w14:paraId="7779E96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noWrap w:val="0"/>
            <w:vAlign w:val="center"/>
          </w:tcPr>
          <w:p w14:paraId="1DA09D3F">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lang w:val="en-US" w:eastAsia="zh-CN"/>
              </w:rPr>
              <w:t>4</w:t>
            </w:r>
          </w:p>
        </w:tc>
        <w:tc>
          <w:tcPr>
            <w:tcW w:w="1080" w:type="dxa"/>
            <w:tcBorders>
              <w:top w:val="nil"/>
              <w:left w:val="nil"/>
              <w:bottom w:val="single" w:color="auto" w:sz="4" w:space="0"/>
              <w:right w:val="single" w:color="auto" w:sz="4" w:space="0"/>
            </w:tcBorders>
            <w:noWrap w:val="0"/>
            <w:vAlign w:val="center"/>
          </w:tcPr>
          <w:p w14:paraId="5551F6C2">
            <w:pPr>
              <w:widowControl/>
              <w:spacing w:line="240" w:lineRule="exact"/>
              <w:jc w:val="center"/>
              <w:rPr>
                <w:rFonts w:ascii="仿宋_GB2312" w:hAnsi="宋体" w:eastAsia="仿宋_GB2312" w:cs="宋体"/>
                <w:kern w:val="0"/>
                <w:sz w:val="18"/>
                <w:szCs w:val="18"/>
              </w:rPr>
            </w:pPr>
          </w:p>
        </w:tc>
      </w:tr>
      <w:tr w14:paraId="76B6AF06">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noWrap w:val="0"/>
            <w:vAlign w:val="center"/>
          </w:tcPr>
          <w:p w14:paraId="77CDAF36">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 分</w:t>
            </w:r>
          </w:p>
        </w:tc>
        <w:tc>
          <w:tcPr>
            <w:tcW w:w="939" w:type="dxa"/>
            <w:tcBorders>
              <w:top w:val="nil"/>
              <w:left w:val="nil"/>
              <w:bottom w:val="single" w:color="auto" w:sz="4" w:space="0"/>
              <w:right w:val="single" w:color="auto" w:sz="4" w:space="0"/>
            </w:tcBorders>
            <w:noWrap w:val="0"/>
            <w:vAlign w:val="center"/>
          </w:tcPr>
          <w:p w14:paraId="1BDE6BEA">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noWrap w:val="0"/>
            <w:vAlign w:val="center"/>
          </w:tcPr>
          <w:p w14:paraId="0BE0739D">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noWrap w:val="0"/>
            <w:vAlign w:val="center"/>
          </w:tcPr>
          <w:p w14:paraId="61A4E990">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noWrap w:val="0"/>
            <w:vAlign w:val="center"/>
          </w:tcPr>
          <w:p w14:paraId="6CE44B79">
            <w:pPr>
              <w:widowControl/>
              <w:spacing w:line="240" w:lineRule="exact"/>
              <w:jc w:val="center"/>
              <w:rPr>
                <w:rFonts w:ascii="仿宋_GB2312" w:hAnsi="宋体" w:eastAsia="仿宋_GB2312" w:cs="宋体"/>
                <w:b/>
                <w:bCs/>
                <w:spacing w:val="-8"/>
                <w:kern w:val="0"/>
                <w:sz w:val="18"/>
                <w:szCs w:val="18"/>
              </w:rPr>
            </w:pPr>
            <w:r>
              <w:rPr>
                <w:rFonts w:hint="eastAsia"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noWrap w:val="0"/>
            <w:vAlign w:val="center"/>
          </w:tcPr>
          <w:p w14:paraId="7DB94D2E">
            <w:pPr>
              <w:widowControl/>
              <w:spacing w:line="240" w:lineRule="exact"/>
              <w:jc w:val="center"/>
              <w:rPr>
                <w:rFonts w:hint="eastAsia" w:ascii="仿宋_GB2312" w:hAnsi="宋体" w:eastAsia="仿宋_GB2312" w:cs="宋体"/>
                <w:b/>
                <w:bCs/>
                <w:kern w:val="0"/>
                <w:sz w:val="18"/>
                <w:szCs w:val="18"/>
                <w:lang w:val="en-US" w:eastAsia="zh-CN"/>
              </w:rPr>
            </w:pPr>
            <w:r>
              <w:rPr>
                <w:rFonts w:hint="eastAsia" w:ascii="仿宋_GB2312" w:hAnsi="宋体" w:eastAsia="仿宋_GB2312" w:cs="宋体"/>
                <w:b/>
                <w:bCs/>
                <w:kern w:val="0"/>
                <w:sz w:val="18"/>
                <w:szCs w:val="18"/>
              </w:rPr>
              <w:t>9</w:t>
            </w:r>
            <w:r>
              <w:rPr>
                <w:rFonts w:hint="eastAsia" w:ascii="仿宋_GB2312" w:hAnsi="宋体" w:eastAsia="仿宋_GB2312" w:cs="宋体"/>
                <w:b/>
                <w:bCs/>
                <w:kern w:val="0"/>
                <w:sz w:val="18"/>
                <w:szCs w:val="18"/>
                <w:lang w:val="en-US" w:eastAsia="zh-CN"/>
              </w:rPr>
              <w:t>8</w:t>
            </w:r>
          </w:p>
        </w:tc>
        <w:tc>
          <w:tcPr>
            <w:tcW w:w="1080" w:type="dxa"/>
            <w:tcBorders>
              <w:top w:val="nil"/>
              <w:left w:val="nil"/>
              <w:bottom w:val="single" w:color="auto" w:sz="4" w:space="0"/>
              <w:right w:val="single" w:color="auto" w:sz="4" w:space="0"/>
            </w:tcBorders>
            <w:noWrap w:val="0"/>
            <w:vAlign w:val="center"/>
          </w:tcPr>
          <w:p w14:paraId="77B41194">
            <w:pPr>
              <w:widowControl/>
              <w:spacing w:line="240" w:lineRule="exact"/>
              <w:jc w:val="center"/>
              <w:rPr>
                <w:rFonts w:ascii="仿宋_GB2312" w:hAnsi="宋体" w:eastAsia="仿宋_GB2312" w:cs="宋体"/>
                <w:b/>
                <w:bCs/>
                <w:kern w:val="0"/>
                <w:sz w:val="18"/>
                <w:szCs w:val="18"/>
              </w:rPr>
            </w:pPr>
          </w:p>
        </w:tc>
      </w:tr>
    </w:tbl>
    <w:p w14:paraId="62DC6E14">
      <w:pPr>
        <w:snapToGrid w:val="0"/>
        <w:spacing w:line="360" w:lineRule="auto"/>
        <w:ind w:firstLine="628"/>
        <w:jc w:val="left"/>
        <w:rPr>
          <w:rFonts w:hint="eastAsia" w:eastAsia="仿宋_GB2312"/>
          <w:bCs/>
          <w:sz w:val="32"/>
          <w:szCs w:val="32"/>
        </w:rPr>
      </w:pPr>
    </w:p>
    <w:p w14:paraId="438571E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086449"/>
    <w:multiLevelType w:val="singleLevel"/>
    <w:tmpl w:val="92086449"/>
    <w:lvl w:ilvl="0" w:tentative="0">
      <w:start w:val="2"/>
      <w:numFmt w:val="chineseCounting"/>
      <w:suff w:val="nothing"/>
      <w:lvlText w:val="（%1）"/>
      <w:lvlJc w:val="left"/>
      <w:rPr>
        <w:rFonts w:hint="eastAsia"/>
      </w:rPr>
    </w:lvl>
  </w:abstractNum>
  <w:abstractNum w:abstractNumId="1">
    <w:nsid w:val="38DD1105"/>
    <w:multiLevelType w:val="singleLevel"/>
    <w:tmpl w:val="38DD1105"/>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wMzVlYzAxZDk4NGZlM2E2NWNmZWNmYjNkOTg1NjUifQ=="/>
  </w:docVars>
  <w:rsids>
    <w:rsidRoot w:val="0A1A313F"/>
    <w:rsid w:val="02DA2069"/>
    <w:rsid w:val="06314567"/>
    <w:rsid w:val="0680723D"/>
    <w:rsid w:val="082021FB"/>
    <w:rsid w:val="0A1A313F"/>
    <w:rsid w:val="0A533FDD"/>
    <w:rsid w:val="0BBC0197"/>
    <w:rsid w:val="0C7E3877"/>
    <w:rsid w:val="0D874C5B"/>
    <w:rsid w:val="0D8E229F"/>
    <w:rsid w:val="0DB65991"/>
    <w:rsid w:val="0F201A80"/>
    <w:rsid w:val="0F8E2A2A"/>
    <w:rsid w:val="0FDA1211"/>
    <w:rsid w:val="0FF7412C"/>
    <w:rsid w:val="106B1B71"/>
    <w:rsid w:val="11DA32AA"/>
    <w:rsid w:val="14AD1543"/>
    <w:rsid w:val="14C00824"/>
    <w:rsid w:val="162C42B3"/>
    <w:rsid w:val="19144D19"/>
    <w:rsid w:val="19422E64"/>
    <w:rsid w:val="1A857F8D"/>
    <w:rsid w:val="1B6F6E2E"/>
    <w:rsid w:val="1B9719D0"/>
    <w:rsid w:val="1EA62ED2"/>
    <w:rsid w:val="23630647"/>
    <w:rsid w:val="23845D9E"/>
    <w:rsid w:val="24927325"/>
    <w:rsid w:val="263F75CA"/>
    <w:rsid w:val="26467737"/>
    <w:rsid w:val="26A17F53"/>
    <w:rsid w:val="2A605BE4"/>
    <w:rsid w:val="2B247840"/>
    <w:rsid w:val="2BE72128"/>
    <w:rsid w:val="2BEA2ED3"/>
    <w:rsid w:val="2D20037D"/>
    <w:rsid w:val="2D74205C"/>
    <w:rsid w:val="2E4B2482"/>
    <w:rsid w:val="2E6D0719"/>
    <w:rsid w:val="2EF6716A"/>
    <w:rsid w:val="30566C9F"/>
    <w:rsid w:val="316F477E"/>
    <w:rsid w:val="32D875C8"/>
    <w:rsid w:val="33265E11"/>
    <w:rsid w:val="33957634"/>
    <w:rsid w:val="343230D5"/>
    <w:rsid w:val="349211B7"/>
    <w:rsid w:val="35246EC1"/>
    <w:rsid w:val="35C96809"/>
    <w:rsid w:val="370E1E08"/>
    <w:rsid w:val="37D13EF8"/>
    <w:rsid w:val="37EB05DA"/>
    <w:rsid w:val="391B4A7F"/>
    <w:rsid w:val="3A2F3BFE"/>
    <w:rsid w:val="3A4D5720"/>
    <w:rsid w:val="3A7D1496"/>
    <w:rsid w:val="3B70245C"/>
    <w:rsid w:val="3BAE6861"/>
    <w:rsid w:val="3D8F535B"/>
    <w:rsid w:val="3E107914"/>
    <w:rsid w:val="3E6D137F"/>
    <w:rsid w:val="3EB04F58"/>
    <w:rsid w:val="3ED62761"/>
    <w:rsid w:val="40405E31"/>
    <w:rsid w:val="41EE1888"/>
    <w:rsid w:val="440F72B8"/>
    <w:rsid w:val="44216098"/>
    <w:rsid w:val="44896249"/>
    <w:rsid w:val="47B5738E"/>
    <w:rsid w:val="47FF2488"/>
    <w:rsid w:val="49CF3C52"/>
    <w:rsid w:val="4B591B02"/>
    <w:rsid w:val="4C215AB1"/>
    <w:rsid w:val="4FA0745D"/>
    <w:rsid w:val="504D340A"/>
    <w:rsid w:val="50B22936"/>
    <w:rsid w:val="5232687A"/>
    <w:rsid w:val="54B35714"/>
    <w:rsid w:val="55133157"/>
    <w:rsid w:val="57EC78BB"/>
    <w:rsid w:val="5AA605CD"/>
    <w:rsid w:val="5C6D6C34"/>
    <w:rsid w:val="5CAD5ED1"/>
    <w:rsid w:val="5CC3007B"/>
    <w:rsid w:val="5D8F040A"/>
    <w:rsid w:val="5E2430CD"/>
    <w:rsid w:val="5FC64C01"/>
    <w:rsid w:val="5FF60134"/>
    <w:rsid w:val="643827E5"/>
    <w:rsid w:val="65BA5EA0"/>
    <w:rsid w:val="661871B9"/>
    <w:rsid w:val="666741CE"/>
    <w:rsid w:val="66F217FA"/>
    <w:rsid w:val="684150B9"/>
    <w:rsid w:val="68F953A3"/>
    <w:rsid w:val="69D240B3"/>
    <w:rsid w:val="6B1B44DA"/>
    <w:rsid w:val="6B6C069F"/>
    <w:rsid w:val="6C133210"/>
    <w:rsid w:val="6E360787"/>
    <w:rsid w:val="6F1E7F02"/>
    <w:rsid w:val="6F6551A2"/>
    <w:rsid w:val="706E310B"/>
    <w:rsid w:val="737171CA"/>
    <w:rsid w:val="75630D65"/>
    <w:rsid w:val="76880357"/>
    <w:rsid w:val="76D71B44"/>
    <w:rsid w:val="775D5A0F"/>
    <w:rsid w:val="77B67919"/>
    <w:rsid w:val="7B2D132A"/>
    <w:rsid w:val="7B5C3278"/>
    <w:rsid w:val="7B6046C3"/>
    <w:rsid w:val="7B931F32"/>
    <w:rsid w:val="7BF407DF"/>
    <w:rsid w:val="7C8959EA"/>
    <w:rsid w:val="7C987027"/>
    <w:rsid w:val="7D034972"/>
    <w:rsid w:val="7D911DFE"/>
    <w:rsid w:val="7E745D91"/>
    <w:rsid w:val="7EFD2393"/>
    <w:rsid w:val="7F457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2931</Words>
  <Characters>3139</Characters>
  <Lines>0</Lines>
  <Paragraphs>0</Paragraphs>
  <TotalTime>0</TotalTime>
  <ScaleCrop>false</ScaleCrop>
  <LinksUpToDate>false</LinksUpToDate>
  <CharactersWithSpaces>3547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2021-07-23T07:46:00Z</dcterms:created>
  <dc:creator>Administrator</dc:creator>
  <cp:lastModifiedBy>Administrator</cp:lastModifiedBy>
  <cp:lastPrinted>2022-10-20T09:06:00Z</cp:lastPrinted>
  <dcterms:modified xsi:type="dcterms:W3CDTF">2024-10-10T08:41:16Z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D8237EEA64EC42749CE31882AA0A6F8B_13</vt:lpwstr>
  </property>
</Properties>
</file>