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1446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72"/>
          <w:szCs w:val="7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微软雅黑" w:hAnsi="微软雅黑" w:eastAsia="微软雅黑" w:cs="微软雅黑"/>
          <w:kern w:val="0"/>
          <w:sz w:val="48"/>
          <w:szCs w:val="48"/>
        </w:rPr>
      </w:pPr>
      <w:r>
        <w:rPr>
          <w:rFonts w:hint="eastAsia" w:ascii="微软雅黑" w:hAnsi="微软雅黑" w:eastAsia="微软雅黑" w:cs="微软雅黑"/>
          <w:kern w:val="0"/>
          <w:sz w:val="48"/>
          <w:szCs w:val="48"/>
          <w:lang w:eastAsia="zh-CN"/>
        </w:rPr>
        <w:t>岳阳县文化馆2024年</w:t>
      </w:r>
      <w:r>
        <w:rPr>
          <w:rFonts w:hint="eastAsia" w:ascii="微软雅黑" w:hAnsi="微软雅黑" w:eastAsia="微软雅黑" w:cs="微软雅黑"/>
          <w:kern w:val="0"/>
          <w:sz w:val="48"/>
          <w:szCs w:val="48"/>
        </w:rPr>
        <w:t>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/>
          <w:b/>
          <w:bCs/>
          <w:kern w:val="0"/>
          <w:sz w:val="44"/>
          <w:szCs w:val="44"/>
        </w:rPr>
      </w:pPr>
      <w:r>
        <w:rPr>
          <w:rFonts w:hint="eastAsia" w:ascii="微软雅黑" w:hAnsi="微软雅黑" w:eastAsia="微软雅黑" w:cs="微软雅黑"/>
          <w:kern w:val="0"/>
          <w:sz w:val="48"/>
          <w:szCs w:val="48"/>
          <w:lang w:val="en-US" w:eastAsia="zh-CN"/>
        </w:rPr>
        <w:t>单位预算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880" w:firstLineChars="200"/>
        <w:jc w:val="center"/>
        <w:textAlignment w:val="auto"/>
        <w:rPr>
          <w:rFonts w:hint="eastAsia" w:ascii="黑体" w:hAnsi="黑体" w:eastAsia="黑体" w:cs="黑体"/>
          <w:kern w:val="0"/>
          <w:sz w:val="44"/>
          <w:szCs w:val="44"/>
        </w:rPr>
      </w:pPr>
      <w:r>
        <w:rPr>
          <w:rFonts w:hint="eastAsia" w:ascii="黑体" w:hAnsi="黑体" w:eastAsia="黑体" w:cs="黑体"/>
          <w:kern w:val="0"/>
          <w:sz w:val="44"/>
          <w:szCs w:val="44"/>
        </w:rPr>
        <w:t>目录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ind w:firstLine="643" w:firstLineChars="200"/>
        <w:textAlignment w:val="auto"/>
        <w:rPr>
          <w:rFonts w:ascii="仿宋_GB2312" w:eastAsia="仿宋_GB2312"/>
          <w:b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黑体" w:cs="黑体"/>
          <w:color w:val="auto"/>
          <w:kern w:val="0"/>
          <w:sz w:val="32"/>
          <w:szCs w:val="32"/>
        </w:rPr>
      </w:pPr>
      <w:r>
        <w:rPr>
          <w:rFonts w:hint="eastAsia" w:eastAsia="黑体" w:cs="黑体"/>
          <w:color w:val="auto"/>
          <w:kern w:val="0"/>
          <w:sz w:val="32"/>
          <w:szCs w:val="32"/>
        </w:rPr>
        <w:t>第一部分</w:t>
      </w:r>
      <w:r>
        <w:rPr>
          <w:rFonts w:hint="eastAsia" w:eastAsia="黑体" w:cs="黑体"/>
          <w:color w:val="auto"/>
          <w:kern w:val="0"/>
          <w:sz w:val="32"/>
          <w:szCs w:val="32"/>
          <w:lang w:val="en-US" w:eastAsia="zh-CN"/>
        </w:rPr>
        <w:t xml:space="preserve"> 2024年单位</w:t>
      </w:r>
      <w:r>
        <w:rPr>
          <w:rFonts w:hint="eastAsia" w:eastAsia="黑体" w:cs="黑体"/>
          <w:color w:val="auto"/>
          <w:kern w:val="0"/>
          <w:sz w:val="32"/>
          <w:szCs w:val="32"/>
          <w:lang w:eastAsia="zh-CN"/>
        </w:rPr>
        <w:t>预算</w:t>
      </w:r>
      <w:r>
        <w:rPr>
          <w:rFonts w:hint="eastAsia" w:eastAsia="黑体" w:cs="黑体"/>
          <w:color w:val="auto"/>
          <w:kern w:val="0"/>
          <w:sz w:val="32"/>
          <w:szCs w:val="32"/>
        </w:rPr>
        <w:t>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黑体" w:cs="黑体"/>
          <w:kern w:val="0"/>
          <w:sz w:val="32"/>
          <w:szCs w:val="32"/>
        </w:rPr>
      </w:pPr>
      <w:r>
        <w:rPr>
          <w:rFonts w:hint="eastAsia" w:eastAsia="黑体" w:cs="黑体"/>
          <w:kern w:val="0"/>
          <w:sz w:val="32"/>
          <w:szCs w:val="32"/>
        </w:rPr>
        <w:t>第二部分</w:t>
      </w:r>
      <w:r>
        <w:rPr>
          <w:rFonts w:hint="eastAsia" w:eastAsia="黑体" w:cs="黑体"/>
          <w:kern w:val="0"/>
          <w:sz w:val="32"/>
          <w:szCs w:val="32"/>
          <w:lang w:val="en-US" w:eastAsia="zh-CN"/>
        </w:rPr>
        <w:t xml:space="preserve">  单位</w:t>
      </w:r>
      <w:r>
        <w:rPr>
          <w:rFonts w:hint="eastAsia" w:eastAsia="黑体" w:cs="黑体"/>
          <w:kern w:val="0"/>
          <w:sz w:val="32"/>
          <w:szCs w:val="32"/>
          <w:lang w:eastAsia="zh-CN"/>
        </w:rPr>
        <w:t>预算</w:t>
      </w:r>
      <w:r>
        <w:rPr>
          <w:rFonts w:hint="eastAsia" w:eastAsia="黑体" w:cs="黑体"/>
          <w:kern w:val="0"/>
          <w:sz w:val="32"/>
          <w:szCs w:val="32"/>
        </w:rPr>
        <w:t>公开表格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1、收支总表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2、收入总表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3、支出总表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4、支出预算分类汇总表（按政府预算经济分类）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5、支出预算分类汇总表（按部门预算经济分类）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6、财政拨款收支总表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7、一般公共预算支出表</w:t>
      </w:r>
    </w:p>
    <w:p>
      <w:pPr>
        <w:widowControl/>
        <w:spacing w:line="600" w:lineRule="exact"/>
        <w:ind w:firstLine="640" w:firstLineChars="200"/>
        <w:jc w:val="left"/>
      </w:pP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eastAsia="仿宋_GB2312"/>
          <w:sz w:val="32"/>
          <w:szCs w:val="32"/>
        </w:rPr>
        <w:t>、</w:t>
      </w:r>
      <w:r>
        <w:rPr>
          <w:rFonts w:hint="eastAsia" w:eastAsia="仿宋_GB2312"/>
          <w:sz w:val="32"/>
          <w:szCs w:val="32"/>
        </w:rPr>
        <w:t>一般公共预算基本支出表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eastAsia="仿宋_GB2312"/>
          <w:sz w:val="32"/>
          <w:szCs w:val="32"/>
        </w:rPr>
        <w:t>、一般公共预算基本支出表-人员经费（工资福利支出）（按政府预算经济分类）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10</w:t>
      </w:r>
      <w:r>
        <w:rPr>
          <w:rFonts w:eastAsia="仿宋_GB2312"/>
          <w:sz w:val="32"/>
          <w:szCs w:val="32"/>
        </w:rPr>
        <w:t>、一般公共预算基本支出表-人员经费（工资福利支出）（按部门预算经济分类）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eastAsia="仿宋_GB2312"/>
          <w:sz w:val="32"/>
          <w:szCs w:val="32"/>
        </w:rPr>
        <w:t>、一般公共预算基本支出表-人员经费（对个人和家庭的补助）（按政府预算经济分类）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、一般公共预算基本支出表-人员经费（对个人和家庭的补助）（按部门预算经济分类）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eastAsia="仿宋_GB2312"/>
          <w:sz w:val="32"/>
          <w:szCs w:val="32"/>
        </w:rPr>
        <w:t>、一般公共预算基本支出表-</w:t>
      </w:r>
      <w:r>
        <w:rPr>
          <w:rFonts w:hint="eastAsia" w:eastAsia="仿宋_GB2312"/>
          <w:sz w:val="32"/>
          <w:szCs w:val="32"/>
          <w:lang w:eastAsia="zh-CN"/>
        </w:rPr>
        <w:t>公用</w:t>
      </w:r>
      <w:r>
        <w:rPr>
          <w:rFonts w:eastAsia="仿宋_GB2312"/>
          <w:sz w:val="32"/>
          <w:szCs w:val="32"/>
        </w:rPr>
        <w:t>经费（商品和服务支出）（按政府预算经济分类）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eastAsia="仿宋_GB2312"/>
          <w:sz w:val="32"/>
          <w:szCs w:val="32"/>
        </w:rPr>
        <w:t>、一般公共预算基本支出表-</w:t>
      </w:r>
      <w:r>
        <w:rPr>
          <w:rFonts w:hint="eastAsia" w:eastAsia="仿宋_GB2312"/>
          <w:sz w:val="32"/>
          <w:szCs w:val="32"/>
          <w:lang w:eastAsia="zh-CN"/>
        </w:rPr>
        <w:t>公用</w:t>
      </w:r>
      <w:r>
        <w:rPr>
          <w:rFonts w:eastAsia="仿宋_GB2312"/>
          <w:sz w:val="32"/>
          <w:szCs w:val="32"/>
        </w:rPr>
        <w:t>经费（商品和服务支出）（按部门预算经济分类）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eastAsia="仿宋_GB2312"/>
          <w:sz w:val="32"/>
          <w:szCs w:val="32"/>
        </w:rPr>
        <w:t>、一般公共预算“三公”经费支出表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6</w:t>
      </w:r>
      <w:r>
        <w:rPr>
          <w:rFonts w:eastAsia="仿宋_GB2312"/>
          <w:sz w:val="32"/>
          <w:szCs w:val="32"/>
        </w:rPr>
        <w:t>、政府性基金预算支出表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7</w:t>
      </w:r>
      <w:r>
        <w:rPr>
          <w:rFonts w:eastAsia="仿宋_GB2312"/>
          <w:sz w:val="32"/>
          <w:szCs w:val="32"/>
        </w:rPr>
        <w:t>、政府性基金预算支出分类汇总表（按政府预算经济分类）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8</w:t>
      </w:r>
      <w:r>
        <w:rPr>
          <w:rFonts w:eastAsia="仿宋_GB2312"/>
          <w:sz w:val="32"/>
          <w:szCs w:val="32"/>
        </w:rPr>
        <w:t>、政府性基金预算支出分类汇总表（按部门预算经济分类）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eastAsia="仿宋_GB2312"/>
          <w:sz w:val="32"/>
          <w:szCs w:val="32"/>
        </w:rPr>
        <w:t>、国有资本经营预算支出表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20</w:t>
      </w:r>
      <w:r>
        <w:rPr>
          <w:rFonts w:eastAsia="仿宋_GB2312"/>
          <w:sz w:val="32"/>
          <w:szCs w:val="32"/>
        </w:rPr>
        <w:t>、财政专户管理资金预算支出表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eastAsia="仿宋_GB2312"/>
          <w:sz w:val="32"/>
          <w:szCs w:val="32"/>
        </w:rPr>
        <w:t>、专项资金预算汇总表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  <w:lang w:val="en-US" w:eastAsia="zh-CN"/>
        </w:rPr>
        <w:t>项目支出</w:t>
      </w:r>
      <w:r>
        <w:rPr>
          <w:rFonts w:eastAsia="仿宋_GB2312"/>
          <w:sz w:val="32"/>
          <w:szCs w:val="32"/>
        </w:rPr>
        <w:t>绩效目标表</w:t>
      </w:r>
    </w:p>
    <w:p>
      <w:pPr>
        <w:widowControl/>
        <w:spacing w:line="6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3</w:t>
      </w:r>
      <w:r>
        <w:rPr>
          <w:rFonts w:eastAsia="仿宋_GB2312"/>
          <w:sz w:val="32"/>
          <w:szCs w:val="32"/>
        </w:rPr>
        <w:t>、部门整体支出绩效目标表</w:t>
      </w:r>
    </w:p>
    <w:p>
      <w:pPr>
        <w:widowControl/>
        <w:spacing w:line="600" w:lineRule="exact"/>
        <w:ind w:firstLine="643" w:firstLineChars="200"/>
        <w:rPr>
          <w:rFonts w:hint="eastAsia" w:eastAsia="仿宋_GB2312" w:cs="仿宋_GB2312"/>
          <w:color w:val="FF0000"/>
          <w:kern w:val="0"/>
          <w:sz w:val="32"/>
          <w:szCs w:val="32"/>
        </w:rPr>
      </w:pPr>
      <w:r>
        <w:rPr>
          <w:rFonts w:eastAsia="仿宋_GB2312"/>
          <w:b/>
          <w:bCs w:val="0"/>
          <w:color w:val="FF0000"/>
          <w:kern w:val="0"/>
          <w:sz w:val="32"/>
          <w:szCs w:val="32"/>
        </w:rPr>
        <w:t>注：以上</w:t>
      </w:r>
      <w:r>
        <w:rPr>
          <w:rFonts w:hint="eastAsia" w:eastAsia="仿宋_GB2312"/>
          <w:b/>
          <w:bCs w:val="0"/>
          <w:color w:val="FF0000"/>
          <w:kern w:val="0"/>
          <w:sz w:val="32"/>
          <w:szCs w:val="32"/>
          <w:lang w:val="en-US" w:eastAsia="zh-CN"/>
        </w:rPr>
        <w:t>单位</w:t>
      </w:r>
      <w:r>
        <w:rPr>
          <w:rFonts w:hint="eastAsia" w:eastAsia="仿宋_GB2312"/>
          <w:b/>
          <w:bCs w:val="0"/>
          <w:color w:val="FF0000"/>
          <w:kern w:val="0"/>
          <w:sz w:val="32"/>
          <w:szCs w:val="32"/>
          <w:lang w:eastAsia="zh-CN"/>
        </w:rPr>
        <w:t>预算</w:t>
      </w:r>
      <w:r>
        <w:rPr>
          <w:rFonts w:hint="eastAsia" w:eastAsia="仿宋_GB2312"/>
          <w:b/>
          <w:bCs w:val="0"/>
          <w:color w:val="FF0000"/>
          <w:kern w:val="0"/>
          <w:sz w:val="32"/>
          <w:szCs w:val="32"/>
          <w:lang w:val="en-US" w:eastAsia="zh-CN"/>
        </w:rPr>
        <w:t>公开</w:t>
      </w:r>
      <w:r>
        <w:rPr>
          <w:rFonts w:eastAsia="仿宋_GB2312"/>
          <w:b/>
          <w:bCs w:val="0"/>
          <w:color w:val="FF0000"/>
          <w:kern w:val="0"/>
          <w:sz w:val="32"/>
          <w:szCs w:val="32"/>
        </w:rPr>
        <w:t>报表中，空表表示本</w:t>
      </w:r>
      <w:r>
        <w:rPr>
          <w:rFonts w:hint="eastAsia" w:eastAsia="仿宋_GB2312"/>
          <w:b/>
          <w:bCs w:val="0"/>
          <w:color w:val="FF0000"/>
          <w:kern w:val="0"/>
          <w:sz w:val="32"/>
          <w:szCs w:val="32"/>
          <w:lang w:val="en-US" w:eastAsia="zh-CN"/>
        </w:rPr>
        <w:t>单位</w:t>
      </w:r>
      <w:r>
        <w:rPr>
          <w:rFonts w:eastAsia="仿宋_GB2312"/>
          <w:b/>
          <w:bCs w:val="0"/>
          <w:color w:val="FF0000"/>
          <w:kern w:val="0"/>
          <w:sz w:val="32"/>
          <w:szCs w:val="32"/>
        </w:rPr>
        <w:t>无相关收支情况。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eastAsia="黑体" w:cs="黑体"/>
          <w:kern w:val="0"/>
          <w:sz w:val="32"/>
          <w:szCs w:val="32"/>
        </w:rPr>
      </w:pPr>
      <w:r>
        <w:rPr>
          <w:rFonts w:hint="eastAsia" w:eastAsia="黑体" w:cs="黑体"/>
          <w:kern w:val="0"/>
          <w:sz w:val="32"/>
          <w:szCs w:val="32"/>
        </w:rPr>
        <w:br w:type="page"/>
      </w:r>
      <w:r>
        <w:rPr>
          <w:rFonts w:hint="eastAsia" w:ascii="黑体" w:hAnsi="黑体" w:eastAsia="黑体" w:cs="黑体"/>
          <w:kern w:val="0"/>
          <w:sz w:val="32"/>
          <w:szCs w:val="32"/>
        </w:rPr>
        <w:t>第一部分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 xml:space="preserve"> 2024年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单位预算</w:t>
      </w:r>
      <w:r>
        <w:rPr>
          <w:rFonts w:hint="eastAsia" w:ascii="黑体" w:hAnsi="黑体" w:eastAsia="黑体" w:cs="黑体"/>
          <w:kern w:val="0"/>
          <w:sz w:val="32"/>
          <w:szCs w:val="32"/>
        </w:rPr>
        <w:t>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一、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单位</w:t>
      </w:r>
      <w:r>
        <w:rPr>
          <w:rFonts w:hint="eastAsia" w:ascii="黑体" w:hAnsi="黑体" w:eastAsia="黑体" w:cs="黑体"/>
          <w:kern w:val="0"/>
          <w:sz w:val="32"/>
          <w:szCs w:val="32"/>
        </w:rPr>
        <w:t>基本概况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</w:rPr>
      </w:pPr>
      <w:r>
        <w:rPr>
          <w:rFonts w:hint="eastAsia" w:eastAsia="仿宋_GB2312" w:cs="仿宋_GB2312"/>
          <w:kern w:val="0"/>
          <w:sz w:val="32"/>
          <w:szCs w:val="32"/>
        </w:rPr>
        <w:t>（一）职能职责</w:t>
      </w:r>
    </w:p>
    <w:p>
      <w:pPr>
        <w:widowControl/>
        <w:spacing w:line="600" w:lineRule="exact"/>
        <w:ind w:firstLine="640" w:firstLineChars="200"/>
        <w:rPr>
          <w:rFonts w:hint="eastAsia" w:ascii="inherit" w:hAnsi="inherit" w:cs="宋体"/>
          <w:color w:val="333333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岳阳县文化馆的主要职责是全民艺术普及，其中包括：免费开放、艺术创作、艺术培训、群文活动、民间艺术文化保护传承和挖掘。是政府为了向广大人民群众进行宣传教育，组织辅导群众开展文化活动而设立的公益类事业单位，是当地群众文化艺术活动的中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</w:rPr>
      </w:pPr>
      <w:r>
        <w:rPr>
          <w:rFonts w:hint="eastAsia" w:eastAsia="仿宋_GB2312" w:cs="仿宋_GB2312"/>
          <w:kern w:val="0"/>
          <w:sz w:val="32"/>
          <w:szCs w:val="32"/>
        </w:rPr>
        <w:t>（二）机构设置</w:t>
      </w:r>
    </w:p>
    <w:p>
      <w:pPr>
        <w:widowControl/>
        <w:spacing w:line="600" w:lineRule="exact"/>
        <w:ind w:firstLine="640" w:firstLineChars="200"/>
        <w:rPr>
          <w:rFonts w:ascii="仿宋" w:hAnsi="仿宋" w:eastAsia="仿宋" w:cs="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岳阳县文化馆设下列内设机构:综合部、培训部、创研部、岳阳县花鼓戏传承保护中心。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单位</w:t>
      </w:r>
      <w:r>
        <w:rPr>
          <w:rFonts w:hint="eastAsia" w:ascii="黑体" w:hAnsi="黑体" w:eastAsia="黑体" w:cs="黑体"/>
          <w:kern w:val="0"/>
          <w:sz w:val="32"/>
          <w:szCs w:val="32"/>
        </w:rPr>
        <w:t>收支总体情况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（一）收入预算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eastAsia="仿宋_GB2312" w:cs="仿宋_GB2312"/>
          <w:kern w:val="0"/>
          <w:sz w:val="32"/>
          <w:szCs w:val="32"/>
          <w:lang w:eastAsia="zh-CN"/>
        </w:rPr>
        <w:t>包括一般公共预算、政府性基金、国有资本经营预算等财政拨款收入，以及经营收入、事业收入等单位资金。2024年本单位收入预算738.68万元，其中，一般公共预算拨款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594.20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万元，政府性基金预算拨款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万元，国有资本经营预算拨款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万元，财政专户管理资金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万元，上级补助收入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万元，事业单位经营收入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万元，上年结转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144.48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万元。</w:t>
      </w:r>
      <w:r>
        <w:rPr>
          <w:rFonts w:hint="eastAsia" w:eastAsia="仿宋_GB2312" w:cs="仿宋_GB2312"/>
          <w:i w:val="0"/>
          <w:iCs w:val="0"/>
          <w:color w:val="auto"/>
          <w:kern w:val="0"/>
          <w:sz w:val="32"/>
          <w:szCs w:val="32"/>
          <w:u w:val="single"/>
          <w:lang w:eastAsia="zh-CN"/>
        </w:rPr>
        <w:t>本单位2024年</w:t>
      </w:r>
      <w:r>
        <w:rPr>
          <w:rFonts w:hint="eastAsia" w:eastAsia="仿宋_GB2312" w:cs="仿宋_GB2312"/>
          <w:i w:val="0"/>
          <w:iCs w:val="0"/>
          <w:color w:val="auto"/>
          <w:kern w:val="0"/>
          <w:sz w:val="32"/>
          <w:szCs w:val="32"/>
          <w:u w:val="single"/>
        </w:rPr>
        <w:t>没有政府性基金预算拨款和纳入专户管理的非税收入拨款收入，也没有使用政府性基金预算拨款</w:t>
      </w:r>
      <w:r>
        <w:rPr>
          <w:rFonts w:hint="eastAsia" w:eastAsia="仿宋_GB2312" w:cs="仿宋_GB2312"/>
          <w:i w:val="0"/>
          <w:iCs w:val="0"/>
          <w:color w:val="auto"/>
          <w:kern w:val="0"/>
          <w:sz w:val="32"/>
          <w:szCs w:val="32"/>
          <w:u w:val="single"/>
          <w:lang w:eastAsia="zh-CN"/>
        </w:rPr>
        <w:t>、</w:t>
      </w:r>
      <w:r>
        <w:rPr>
          <w:rFonts w:hint="eastAsia" w:eastAsia="仿宋_GB2312" w:cs="仿宋_GB2312"/>
          <w:i w:val="0"/>
          <w:iCs w:val="0"/>
          <w:color w:val="auto"/>
          <w:kern w:val="0"/>
          <w:sz w:val="32"/>
          <w:szCs w:val="32"/>
          <w:u w:val="single"/>
        </w:rPr>
        <w:t>国有资本经营预算收入和纳入专户管理的非税收入拨款安排的支出，所以公开的附件</w:t>
      </w:r>
      <w:r>
        <w:rPr>
          <w:rFonts w:hint="eastAsia" w:eastAsia="仿宋_GB2312" w:cs="仿宋_GB2312"/>
          <w:i w:val="0"/>
          <w:iCs w:val="0"/>
          <w:color w:val="auto"/>
          <w:kern w:val="0"/>
          <w:sz w:val="32"/>
          <w:szCs w:val="32"/>
          <w:u w:val="single"/>
          <w:lang w:val="en-US" w:eastAsia="zh-CN"/>
        </w:rPr>
        <w:t>16-18（</w:t>
      </w:r>
      <w:r>
        <w:rPr>
          <w:rFonts w:hint="eastAsia" w:eastAsia="仿宋_GB2312" w:cs="仿宋_GB2312"/>
          <w:i w:val="0"/>
          <w:iCs w:val="0"/>
          <w:color w:val="auto"/>
          <w:kern w:val="0"/>
          <w:sz w:val="32"/>
          <w:szCs w:val="32"/>
          <w:u w:val="single"/>
        </w:rPr>
        <w:t>政府性基金预算</w:t>
      </w:r>
      <w:r>
        <w:rPr>
          <w:rFonts w:hint="eastAsia" w:eastAsia="仿宋_GB2312" w:cs="仿宋_GB2312"/>
          <w:i w:val="0"/>
          <w:iCs w:val="0"/>
          <w:color w:val="auto"/>
          <w:kern w:val="0"/>
          <w:sz w:val="32"/>
          <w:szCs w:val="32"/>
          <w:u w:val="single"/>
          <w:lang w:val="en-US" w:eastAsia="zh-CN"/>
        </w:rPr>
        <w:t>）</w:t>
      </w:r>
      <w:r>
        <w:rPr>
          <w:rFonts w:hint="eastAsia" w:eastAsia="仿宋_GB2312" w:cs="仿宋_GB2312"/>
          <w:i w:val="0"/>
          <w:iCs w:val="0"/>
          <w:color w:val="auto"/>
          <w:kern w:val="0"/>
          <w:sz w:val="32"/>
          <w:szCs w:val="32"/>
          <w:u w:val="single"/>
        </w:rPr>
        <w:t>、</w:t>
      </w:r>
      <w:r>
        <w:rPr>
          <w:rFonts w:hint="eastAsia" w:eastAsia="仿宋_GB2312" w:cs="仿宋_GB2312"/>
          <w:i w:val="0"/>
          <w:iCs w:val="0"/>
          <w:color w:val="auto"/>
          <w:kern w:val="0"/>
          <w:sz w:val="32"/>
          <w:szCs w:val="32"/>
          <w:u w:val="single"/>
          <w:lang w:val="en-US" w:eastAsia="zh-CN"/>
        </w:rPr>
        <w:t>19（</w:t>
      </w:r>
      <w:r>
        <w:rPr>
          <w:rFonts w:hint="eastAsia" w:eastAsia="仿宋_GB2312" w:cs="仿宋_GB2312"/>
          <w:i w:val="0"/>
          <w:iCs w:val="0"/>
          <w:color w:val="auto"/>
          <w:kern w:val="0"/>
          <w:sz w:val="32"/>
          <w:szCs w:val="32"/>
          <w:u w:val="single"/>
        </w:rPr>
        <w:t>国有资本经营预算</w:t>
      </w:r>
      <w:r>
        <w:rPr>
          <w:rFonts w:hint="eastAsia" w:eastAsia="仿宋_GB2312" w:cs="仿宋_GB2312"/>
          <w:i w:val="0"/>
          <w:iCs w:val="0"/>
          <w:color w:val="auto"/>
          <w:kern w:val="0"/>
          <w:sz w:val="32"/>
          <w:szCs w:val="32"/>
          <w:u w:val="single"/>
          <w:lang w:val="en-US" w:eastAsia="zh-CN"/>
        </w:rPr>
        <w:t>）</w:t>
      </w:r>
      <w:r>
        <w:rPr>
          <w:rFonts w:hint="eastAsia" w:eastAsia="仿宋_GB2312" w:cs="仿宋_GB2312"/>
          <w:i w:val="0"/>
          <w:iCs w:val="0"/>
          <w:color w:val="auto"/>
          <w:kern w:val="0"/>
          <w:sz w:val="32"/>
          <w:szCs w:val="32"/>
          <w:u w:val="single"/>
        </w:rPr>
        <w:t>、</w:t>
      </w:r>
      <w:r>
        <w:rPr>
          <w:rFonts w:hint="eastAsia" w:eastAsia="仿宋_GB2312" w:cs="仿宋_GB2312"/>
          <w:i w:val="0"/>
          <w:iCs w:val="0"/>
          <w:color w:val="auto"/>
          <w:kern w:val="0"/>
          <w:sz w:val="32"/>
          <w:szCs w:val="32"/>
          <w:u w:val="single"/>
          <w:lang w:val="en-US" w:eastAsia="zh-CN"/>
        </w:rPr>
        <w:t>20</w:t>
      </w:r>
      <w:r>
        <w:rPr>
          <w:rFonts w:hint="eastAsia" w:eastAsia="仿宋_GB2312" w:cs="仿宋_GB2312"/>
          <w:i w:val="0"/>
          <w:iCs w:val="0"/>
          <w:color w:val="auto"/>
          <w:kern w:val="0"/>
          <w:sz w:val="32"/>
          <w:szCs w:val="32"/>
          <w:u w:val="single"/>
        </w:rPr>
        <w:t>表</w:t>
      </w:r>
      <w:r>
        <w:rPr>
          <w:rFonts w:hint="eastAsia" w:eastAsia="仿宋_GB2312" w:cs="仿宋_GB2312"/>
          <w:i w:val="0"/>
          <w:iCs w:val="0"/>
          <w:color w:val="auto"/>
          <w:kern w:val="0"/>
          <w:sz w:val="32"/>
          <w:szCs w:val="32"/>
          <w:u w:val="single"/>
          <w:lang w:eastAsia="zh-CN"/>
        </w:rPr>
        <w:t>（</w:t>
      </w:r>
      <w:r>
        <w:rPr>
          <w:rFonts w:hint="eastAsia" w:eastAsia="仿宋_GB2312" w:cs="仿宋_GB2312"/>
          <w:i w:val="0"/>
          <w:iCs w:val="0"/>
          <w:color w:val="auto"/>
          <w:kern w:val="0"/>
          <w:sz w:val="32"/>
          <w:szCs w:val="32"/>
          <w:u w:val="single"/>
          <w:lang w:val="en-US" w:eastAsia="zh-CN"/>
        </w:rPr>
        <w:t>财政</w:t>
      </w:r>
      <w:r>
        <w:rPr>
          <w:rFonts w:hint="eastAsia" w:eastAsia="仿宋_GB2312" w:cs="仿宋_GB2312"/>
          <w:i w:val="0"/>
          <w:iCs w:val="0"/>
          <w:color w:val="auto"/>
          <w:kern w:val="0"/>
          <w:sz w:val="32"/>
          <w:szCs w:val="32"/>
          <w:u w:val="single"/>
        </w:rPr>
        <w:t>专户管理</w:t>
      </w:r>
      <w:r>
        <w:rPr>
          <w:rFonts w:hint="eastAsia" w:eastAsia="仿宋_GB2312" w:cs="仿宋_GB2312"/>
          <w:i w:val="0"/>
          <w:iCs w:val="0"/>
          <w:color w:val="auto"/>
          <w:kern w:val="0"/>
          <w:sz w:val="32"/>
          <w:szCs w:val="32"/>
          <w:u w:val="single"/>
          <w:lang w:val="en-US" w:eastAsia="zh-CN"/>
        </w:rPr>
        <w:t>资金</w:t>
      </w:r>
      <w:r>
        <w:rPr>
          <w:rFonts w:hint="eastAsia" w:eastAsia="仿宋_GB2312" w:cs="仿宋_GB2312"/>
          <w:i w:val="0"/>
          <w:iCs w:val="0"/>
          <w:color w:val="auto"/>
          <w:kern w:val="0"/>
          <w:sz w:val="32"/>
          <w:szCs w:val="32"/>
          <w:u w:val="single"/>
        </w:rPr>
        <w:t>预算</w:t>
      </w:r>
      <w:r>
        <w:rPr>
          <w:rFonts w:hint="eastAsia" w:eastAsia="仿宋_GB2312" w:cs="仿宋_GB2312"/>
          <w:i w:val="0"/>
          <w:iCs w:val="0"/>
          <w:color w:val="auto"/>
          <w:kern w:val="0"/>
          <w:sz w:val="32"/>
          <w:szCs w:val="32"/>
          <w:u w:val="single"/>
          <w:lang w:eastAsia="zh-CN"/>
        </w:rPr>
        <w:t>）</w:t>
      </w:r>
      <w:r>
        <w:rPr>
          <w:rFonts w:hint="eastAsia" w:eastAsia="仿宋_GB2312" w:cs="仿宋_GB2312"/>
          <w:i w:val="0"/>
          <w:iCs w:val="0"/>
          <w:color w:val="auto"/>
          <w:kern w:val="0"/>
          <w:sz w:val="32"/>
          <w:szCs w:val="32"/>
          <w:u w:val="single"/>
        </w:rPr>
        <w:t>均为空。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收入较上年增加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88.14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万元，主要是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国家对非物质文化遗产保护投入增加，财政安排我单位项目经费增加。</w:t>
      </w:r>
    </w:p>
    <w:p>
      <w:pPr>
        <w:widowControl/>
        <w:spacing w:line="600" w:lineRule="exact"/>
        <w:ind w:firstLine="630" w:firstLineChars="196"/>
        <w:jc w:val="left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（二）支出预算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2024年本单位</w:t>
      </w:r>
      <w:r>
        <w:rPr>
          <w:rFonts w:eastAsia="仿宋_GB2312"/>
          <w:sz w:val="32"/>
          <w:szCs w:val="32"/>
        </w:rPr>
        <w:t>支出预算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738.68</w:t>
      </w:r>
      <w:r>
        <w:rPr>
          <w:rFonts w:eastAsia="仿宋_GB2312"/>
          <w:sz w:val="32"/>
          <w:szCs w:val="32"/>
        </w:rPr>
        <w:t>万元，其中，</w:t>
      </w:r>
      <w:r>
        <w:rPr>
          <w:rFonts w:hint="eastAsia" w:eastAsia="仿宋_GB2312"/>
          <w:sz w:val="32"/>
          <w:szCs w:val="32"/>
        </w:rPr>
        <w:t>文化旅游体育与传媒支出647.98</w:t>
      </w:r>
      <w:r>
        <w:rPr>
          <w:rFonts w:hint="eastAsia" w:eastAsia="仿宋_GB2312"/>
          <w:sz w:val="32"/>
          <w:szCs w:val="32"/>
          <w:lang w:eastAsia="zh-CN"/>
        </w:rPr>
        <w:t>万元，</w:t>
      </w:r>
      <w:r>
        <w:rPr>
          <w:rFonts w:hint="eastAsia" w:eastAsia="仿宋_GB2312"/>
          <w:sz w:val="32"/>
          <w:szCs w:val="32"/>
        </w:rPr>
        <w:t>社会保障和就业支出44.47万元，卫生健康支出20.43万元，住房保障支出25.81万元。支出较</w:t>
      </w:r>
      <w:r>
        <w:rPr>
          <w:rFonts w:hint="eastAsia" w:eastAsia="仿宋_GB2312"/>
          <w:sz w:val="32"/>
          <w:szCs w:val="32"/>
          <w:lang w:eastAsia="zh-CN"/>
        </w:rPr>
        <w:t>上年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增加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88.14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</w:t>
      </w:r>
      <w:r>
        <w:rPr>
          <w:rFonts w:hint="eastAsia" w:eastAsia="仿宋_GB2312"/>
          <w:sz w:val="32"/>
          <w:szCs w:val="32"/>
        </w:rPr>
        <w:t>，其中基本支出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减少</w:t>
      </w:r>
      <w:r>
        <w:rPr>
          <w:rFonts w:hint="eastAsia" w:eastAsia="仿宋_GB2312"/>
          <w:sz w:val="32"/>
          <w:szCs w:val="32"/>
          <w:lang w:val="en-US" w:eastAsia="zh-CN"/>
        </w:rPr>
        <w:t>165.34</w:t>
      </w:r>
      <w:r>
        <w:rPr>
          <w:rFonts w:hint="eastAsia"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</w:rPr>
        <w:t>项目支出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增加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253.48</w:t>
      </w:r>
      <w:r>
        <w:rPr>
          <w:rFonts w:hint="eastAsia" w:eastAsia="仿宋_GB2312"/>
          <w:sz w:val="32"/>
          <w:szCs w:val="32"/>
        </w:rPr>
        <w:t>万元。</w:t>
      </w:r>
      <w:r>
        <w:rPr>
          <w:rFonts w:hint="eastAsia" w:eastAsia="仿宋_GB2312"/>
          <w:sz w:val="32"/>
          <w:szCs w:val="32"/>
          <w:lang w:eastAsia="zh-CN"/>
        </w:rPr>
        <w:t>其中基本支出较上年</w:t>
      </w:r>
      <w:r>
        <w:rPr>
          <w:rFonts w:hint="eastAsia" w:eastAsia="仿宋_GB2312"/>
          <w:sz w:val="32"/>
          <w:szCs w:val="32"/>
          <w:lang w:val="en-US" w:eastAsia="zh-CN"/>
        </w:rPr>
        <w:t>减少</w:t>
      </w:r>
      <w:r>
        <w:rPr>
          <w:rFonts w:hint="eastAsia" w:eastAsia="仿宋_GB2312"/>
          <w:sz w:val="32"/>
          <w:szCs w:val="32"/>
          <w:lang w:eastAsia="zh-CN"/>
        </w:rPr>
        <w:t>主要是</w:t>
      </w:r>
      <w:r>
        <w:rPr>
          <w:rFonts w:hint="eastAsia" w:eastAsia="仿宋_GB2312"/>
          <w:sz w:val="32"/>
          <w:szCs w:val="32"/>
          <w:lang w:val="en-US" w:eastAsia="zh-CN"/>
        </w:rPr>
        <w:t>因为部分支出本年度列支在项目预算中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。</w:t>
      </w:r>
      <w:r>
        <w:rPr>
          <w:rFonts w:hint="eastAsia" w:eastAsia="仿宋_GB2312"/>
          <w:sz w:val="32"/>
          <w:szCs w:val="32"/>
          <w:lang w:eastAsia="zh-CN"/>
        </w:rPr>
        <w:t>项目支出增加</w:t>
      </w:r>
      <w:r>
        <w:rPr>
          <w:rFonts w:hint="eastAsia" w:eastAsia="仿宋_GB2312"/>
          <w:sz w:val="32"/>
          <w:szCs w:val="32"/>
          <w:lang w:val="en-US" w:eastAsia="zh-CN"/>
        </w:rPr>
        <w:t>主要是</w:t>
      </w:r>
      <w:r>
        <w:rPr>
          <w:rFonts w:hint="eastAsia" w:eastAsia="仿宋_GB2312"/>
          <w:sz w:val="32"/>
          <w:szCs w:val="32"/>
          <w:lang w:eastAsia="zh-CN"/>
        </w:rPr>
        <w:t>因为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国家对非物质文化遗产保护投入增加，相关项目支出增加。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kern w:val="0"/>
          <w:sz w:val="32"/>
          <w:szCs w:val="32"/>
        </w:rPr>
        <w:t>一般公共预算拨款支出预算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eastAsia="仿宋_GB2312" w:cs="仿宋_GB2312"/>
          <w:kern w:val="0"/>
          <w:sz w:val="32"/>
          <w:szCs w:val="32"/>
          <w:lang w:eastAsia="zh-CN"/>
        </w:rPr>
        <w:t>2024年</w:t>
      </w:r>
      <w:r>
        <w:rPr>
          <w:rFonts w:hint="eastAsia" w:eastAsia="仿宋_GB2312" w:cs="仿宋_GB2312"/>
          <w:kern w:val="0"/>
          <w:sz w:val="32"/>
          <w:szCs w:val="32"/>
        </w:rPr>
        <w:t>一般公共预算拨款支出预算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738.68</w:t>
      </w:r>
      <w:r>
        <w:rPr>
          <w:rFonts w:hint="eastAsia" w:eastAsia="仿宋_GB2312" w:cs="仿宋_GB2312"/>
          <w:kern w:val="0"/>
          <w:sz w:val="32"/>
          <w:szCs w:val="32"/>
        </w:rPr>
        <w:t>万元，其中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文化旅游体育与传媒支出647.98</w:t>
      </w:r>
      <w:r>
        <w:rPr>
          <w:rFonts w:hint="eastAsia" w:eastAsia="仿宋_GB2312"/>
          <w:sz w:val="32"/>
          <w:szCs w:val="32"/>
          <w:lang w:eastAsia="zh-CN"/>
        </w:rPr>
        <w:t>万元，</w:t>
      </w:r>
      <w:r>
        <w:rPr>
          <w:rFonts w:eastAsia="仿宋_GB2312"/>
          <w:sz w:val="32"/>
          <w:szCs w:val="32"/>
        </w:rPr>
        <w:t>占</w:t>
      </w:r>
      <w:r>
        <w:rPr>
          <w:rFonts w:hint="eastAsia" w:eastAsia="仿宋_GB2312"/>
          <w:sz w:val="32"/>
          <w:szCs w:val="32"/>
          <w:lang w:val="en-US" w:eastAsia="zh-CN"/>
        </w:rPr>
        <w:t>87.72</w:t>
      </w:r>
      <w:r>
        <w:rPr>
          <w:rFonts w:hint="eastAsia" w:eastAsia="仿宋_GB2312"/>
          <w:sz w:val="32"/>
          <w:szCs w:val="32"/>
          <w:u w:val="none"/>
        </w:rPr>
        <w:t>%</w:t>
      </w:r>
      <w:r>
        <w:rPr>
          <w:rFonts w:eastAsia="仿宋_GB2312"/>
          <w:sz w:val="32"/>
          <w:szCs w:val="32"/>
        </w:rPr>
        <w:t>；</w:t>
      </w:r>
      <w:r>
        <w:rPr>
          <w:rFonts w:hint="eastAsia" w:eastAsia="仿宋_GB2312"/>
          <w:sz w:val="32"/>
          <w:szCs w:val="32"/>
        </w:rPr>
        <w:t>社会保障和就业支出44.47万元，</w:t>
      </w:r>
      <w:r>
        <w:rPr>
          <w:rFonts w:eastAsia="仿宋_GB2312"/>
          <w:sz w:val="32"/>
          <w:szCs w:val="32"/>
        </w:rPr>
        <w:t>占</w:t>
      </w:r>
      <w:r>
        <w:rPr>
          <w:rFonts w:hint="eastAsia" w:eastAsia="仿宋_GB2312"/>
          <w:sz w:val="32"/>
          <w:szCs w:val="32"/>
          <w:lang w:val="en-US" w:eastAsia="zh-CN"/>
        </w:rPr>
        <w:t>6.02</w:t>
      </w:r>
      <w:r>
        <w:rPr>
          <w:rFonts w:hint="eastAsia" w:eastAsia="仿宋_GB2312"/>
          <w:sz w:val="32"/>
          <w:szCs w:val="32"/>
          <w:u w:val="none"/>
        </w:rPr>
        <w:t>%</w:t>
      </w:r>
      <w:r>
        <w:rPr>
          <w:rFonts w:eastAsia="仿宋_GB2312"/>
          <w:sz w:val="32"/>
          <w:szCs w:val="32"/>
        </w:rPr>
        <w:t>；</w:t>
      </w:r>
      <w:r>
        <w:rPr>
          <w:rFonts w:hint="eastAsia" w:eastAsia="仿宋_GB2312"/>
          <w:sz w:val="32"/>
          <w:szCs w:val="32"/>
        </w:rPr>
        <w:t>卫生健康支出20.43万元，</w:t>
      </w:r>
      <w:r>
        <w:rPr>
          <w:rFonts w:eastAsia="仿宋_GB2312"/>
          <w:sz w:val="32"/>
          <w:szCs w:val="32"/>
        </w:rPr>
        <w:t>占</w:t>
      </w:r>
      <w:r>
        <w:rPr>
          <w:rFonts w:hint="eastAsia" w:eastAsia="仿宋_GB2312"/>
          <w:sz w:val="32"/>
          <w:szCs w:val="32"/>
          <w:lang w:val="en-US" w:eastAsia="zh-CN"/>
        </w:rPr>
        <w:t>2.77</w:t>
      </w:r>
      <w:r>
        <w:rPr>
          <w:rFonts w:hint="eastAsia" w:eastAsia="仿宋_GB2312"/>
          <w:sz w:val="32"/>
          <w:szCs w:val="32"/>
          <w:u w:val="none"/>
        </w:rPr>
        <w:t>%</w:t>
      </w:r>
      <w:r>
        <w:rPr>
          <w:rFonts w:eastAsia="仿宋_GB2312"/>
          <w:sz w:val="32"/>
          <w:szCs w:val="32"/>
        </w:rPr>
        <w:t>；</w:t>
      </w:r>
      <w:r>
        <w:rPr>
          <w:rFonts w:hint="eastAsia" w:eastAsia="仿宋_GB2312"/>
          <w:sz w:val="32"/>
          <w:szCs w:val="32"/>
        </w:rPr>
        <w:t>住房保障支出25.81万元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eastAsia="仿宋_GB2312"/>
          <w:sz w:val="32"/>
          <w:szCs w:val="32"/>
        </w:rPr>
        <w:t>占</w:t>
      </w:r>
      <w:r>
        <w:rPr>
          <w:rFonts w:hint="eastAsia" w:eastAsia="仿宋_GB2312"/>
          <w:sz w:val="32"/>
          <w:szCs w:val="32"/>
          <w:lang w:val="en-US" w:eastAsia="zh-CN"/>
        </w:rPr>
        <w:t>3.49</w:t>
      </w:r>
      <w:r>
        <w:rPr>
          <w:rFonts w:hint="eastAsia" w:eastAsia="仿宋_GB2312"/>
          <w:sz w:val="32"/>
          <w:szCs w:val="32"/>
          <w:u w:val="none"/>
        </w:rPr>
        <w:t>%</w:t>
      </w:r>
      <w:r>
        <w:rPr>
          <w:rFonts w:hint="eastAsia" w:eastAsia="仿宋_GB2312"/>
          <w:sz w:val="32"/>
          <w:szCs w:val="32"/>
        </w:rPr>
        <w:t>。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具体安排情况如下：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eastAsia="仿宋_GB2312" w:cs="仿宋_GB2312"/>
          <w:kern w:val="0"/>
          <w:sz w:val="32"/>
          <w:szCs w:val="32"/>
        </w:rPr>
        <w:t>（一）基本支出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：2024年基本支出年初预算数为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390.20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万元，是指为保障单位机构正常运转、完成日常工作任务而发生的各项支出，包括用于基本工资、津贴补贴等人员经费以及办公费、印刷费、水电费、差旅费等日常公用经费。</w:t>
      </w:r>
    </w:p>
    <w:p>
      <w:pPr>
        <w:widowControl/>
        <w:spacing w:line="600" w:lineRule="exact"/>
        <w:ind w:firstLine="660"/>
        <w:jc w:val="left"/>
        <w:rPr>
          <w:rFonts w:hint="eastAsia" w:eastAsia="仿宋_GB2312"/>
          <w:sz w:val="32"/>
          <w:szCs w:val="32"/>
        </w:rPr>
      </w:pPr>
      <w:r>
        <w:rPr>
          <w:rFonts w:hint="eastAsia" w:eastAsia="仿宋_GB2312" w:cs="仿宋_GB2312"/>
          <w:kern w:val="0"/>
          <w:sz w:val="32"/>
          <w:szCs w:val="32"/>
        </w:rPr>
        <w:t>（二）项目支出：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2024年</w:t>
      </w:r>
      <w:r>
        <w:rPr>
          <w:rFonts w:hint="eastAsia" w:eastAsia="仿宋_GB2312" w:cs="仿宋_GB2312"/>
          <w:kern w:val="0"/>
          <w:sz w:val="32"/>
          <w:szCs w:val="32"/>
        </w:rPr>
        <w:t>项目支出年初预算数为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348.48</w:t>
      </w:r>
      <w:r>
        <w:rPr>
          <w:rFonts w:hint="eastAsia" w:eastAsia="仿宋_GB2312" w:cs="仿宋_GB2312"/>
          <w:kern w:val="0"/>
          <w:sz w:val="32"/>
          <w:szCs w:val="32"/>
        </w:rPr>
        <w:t>万元，是指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单位</w:t>
      </w:r>
      <w:r>
        <w:rPr>
          <w:rFonts w:hint="eastAsia" w:eastAsia="仿宋_GB2312" w:cs="仿宋_GB2312"/>
          <w:kern w:val="0"/>
          <w:sz w:val="32"/>
          <w:szCs w:val="32"/>
        </w:rPr>
        <w:t>为完成特定行政工作任务或事业发展目标而发生的支出，包括有关业务工作经费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eastAsia" w:eastAsia="仿宋_GB2312"/>
          <w:sz w:val="32"/>
          <w:szCs w:val="32"/>
        </w:rPr>
        <w:t>运行维护经费</w:t>
      </w:r>
      <w:r>
        <w:rPr>
          <w:rFonts w:hint="eastAsia" w:eastAsia="仿宋_GB2312"/>
          <w:sz w:val="32"/>
          <w:szCs w:val="32"/>
          <w:lang w:val="en-US" w:eastAsia="zh-CN"/>
        </w:rPr>
        <w:t>等</w:t>
      </w:r>
      <w:r>
        <w:rPr>
          <w:rFonts w:hint="eastAsia" w:eastAsia="仿宋_GB2312"/>
          <w:sz w:val="32"/>
          <w:szCs w:val="32"/>
        </w:rPr>
        <w:t>。其中：业务工作经费支出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348.48</w:t>
      </w:r>
      <w:r>
        <w:rPr>
          <w:rFonts w:hint="eastAsia" w:eastAsia="仿宋_GB2312"/>
          <w:sz w:val="32"/>
          <w:szCs w:val="32"/>
        </w:rPr>
        <w:t>万元，主要用于</w:t>
      </w:r>
      <w:r>
        <w:rPr>
          <w:rFonts w:hint="eastAsia" w:eastAsia="仿宋_GB2312"/>
          <w:sz w:val="32"/>
          <w:szCs w:val="32"/>
          <w:lang w:eastAsia="zh-CN"/>
        </w:rPr>
        <w:t>花鼓戏保护保存、 剧团传承经费、送戏下乡惠民活动、演出专项经费</w:t>
      </w:r>
      <w:r>
        <w:rPr>
          <w:rFonts w:hint="eastAsia" w:eastAsia="仿宋_GB2312"/>
          <w:sz w:val="32"/>
          <w:szCs w:val="32"/>
        </w:rPr>
        <w:t>等方面；运行维护经费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、政府性基金预算支出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2024年度本单位无政府性基金安排的支出，所以公开的附件16-18（政府性基金预算）为空。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kern w:val="0"/>
          <w:sz w:val="32"/>
          <w:szCs w:val="32"/>
        </w:rPr>
        <w:t>、其他重要事项的情况说明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（一）机关运行经费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 w:cs="仿宋_GB2312"/>
          <w:kern w:val="0"/>
          <w:sz w:val="32"/>
          <w:szCs w:val="32"/>
          <w:lang w:eastAsia="zh-CN"/>
        </w:rPr>
        <w:t>本单位2024年</w:t>
      </w:r>
      <w:r>
        <w:rPr>
          <w:rFonts w:hint="eastAsia" w:eastAsia="仿宋_GB2312" w:cs="仿宋_GB2312"/>
          <w:kern w:val="0"/>
          <w:sz w:val="32"/>
          <w:szCs w:val="32"/>
        </w:rPr>
        <w:t>机关运行经费当年一般公共预算拨款34.73万元，比</w:t>
      </w:r>
      <w:r>
        <w:rPr>
          <w:rFonts w:hint="eastAsia" w:eastAsia="仿宋_GB2312"/>
          <w:kern w:val="0"/>
          <w:sz w:val="32"/>
          <w:szCs w:val="32"/>
          <w:lang w:eastAsia="zh-CN"/>
        </w:rPr>
        <w:t>上一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年减少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170.94</w:t>
      </w:r>
      <w:r>
        <w:rPr>
          <w:rFonts w:hint="eastAsia" w:eastAsia="仿宋_GB2312" w:cs="仿宋_GB2312"/>
          <w:kern w:val="0"/>
          <w:sz w:val="32"/>
          <w:szCs w:val="32"/>
        </w:rPr>
        <w:t>万元，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减少83.11</w:t>
      </w:r>
      <w:r>
        <w:rPr>
          <w:rFonts w:hint="eastAsia" w:eastAsia="仿宋_GB2312" w:cs="仿宋_GB2312"/>
          <w:kern w:val="0"/>
          <w:sz w:val="32"/>
          <w:szCs w:val="32"/>
        </w:rPr>
        <w:t>%。主要原因是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预算口径变化，</w:t>
      </w:r>
      <w:r>
        <w:rPr>
          <w:rFonts w:hint="eastAsia" w:eastAsia="仿宋_GB2312"/>
          <w:sz w:val="32"/>
          <w:szCs w:val="32"/>
          <w:lang w:val="en-US" w:eastAsia="zh-CN"/>
        </w:rPr>
        <w:t>部分支出本年度列支在项目预算中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</w:rPr>
        <w:t>（二）“三公”经费预算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eastAsia="仿宋_GB2312" w:cs="仿宋_GB2312"/>
          <w:kern w:val="0"/>
          <w:sz w:val="32"/>
          <w:szCs w:val="32"/>
          <w:lang w:eastAsia="zh-CN"/>
        </w:rPr>
        <w:t>本单位2024年</w:t>
      </w:r>
      <w:r>
        <w:rPr>
          <w:rFonts w:hint="eastAsia" w:eastAsia="仿宋_GB2312" w:cs="仿宋_GB2312"/>
          <w:kern w:val="0"/>
          <w:sz w:val="32"/>
          <w:szCs w:val="32"/>
        </w:rPr>
        <w:t>“三公”经费预算数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1.60</w:t>
      </w:r>
      <w:r>
        <w:rPr>
          <w:rFonts w:hint="eastAsia" w:eastAsia="仿宋_GB2312" w:cs="仿宋_GB2312"/>
          <w:kern w:val="0"/>
          <w:sz w:val="32"/>
          <w:szCs w:val="32"/>
        </w:rPr>
        <w:t>万元，其中，公务接待费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1.60</w:t>
      </w:r>
      <w:r>
        <w:rPr>
          <w:rFonts w:hint="eastAsia" w:eastAsia="仿宋_GB2312" w:cs="仿宋_GB2312"/>
          <w:kern w:val="0"/>
          <w:sz w:val="32"/>
          <w:szCs w:val="32"/>
        </w:rPr>
        <w:t>万元，因公出国（境）费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万元，公务用车购置及运行费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万元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其中公务用车购置费0万元，公务用车运行费0万元。比上一年减少0.40万元，降低20%，主要原因是按上级文件要求严控三公经费开支。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  <w:t>（三）一般性支出情况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本单位2024年培训费预算1.20万</w:t>
      </w:r>
      <w:bookmarkStart w:id="0" w:name="_GoBack"/>
      <w:bookmarkEnd w:id="0"/>
      <w:r>
        <w:rPr>
          <w:rFonts w:hint="eastAsia" w:eastAsia="仿宋_GB2312"/>
          <w:kern w:val="0"/>
          <w:sz w:val="32"/>
          <w:szCs w:val="32"/>
          <w:lang w:val="en-US" w:eastAsia="zh-CN"/>
        </w:rPr>
        <w:t>元，拟开展3次培训，人数12人，内容为干部职工执业能力提升培训；2024年度本单位未计划安排会议，未计划举办节庆、晚会、论坛、赛事活动。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kern w:val="0"/>
          <w:sz w:val="32"/>
          <w:szCs w:val="32"/>
          <w:lang w:eastAsia="zh-CN"/>
        </w:rPr>
        <w:t>（四）政府采购情况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val="en-US" w:eastAsia="zh-CN"/>
        </w:rPr>
        <w:t>2024年度本单位未安排政府采购预算。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  <w:t>（五）国有资产占有使用及新增资产配置情况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kern w:val="0"/>
          <w:sz w:val="32"/>
          <w:szCs w:val="32"/>
        </w:rPr>
      </w:pPr>
      <w:r>
        <w:rPr>
          <w:rFonts w:hint="eastAsia" w:eastAsia="仿宋_GB2312" w:cs="仿宋_GB2312"/>
          <w:color w:val="auto"/>
          <w:kern w:val="0"/>
          <w:sz w:val="32"/>
          <w:szCs w:val="32"/>
        </w:rPr>
        <w:t>截至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上一年</w:t>
      </w:r>
      <w:r>
        <w:rPr>
          <w:rFonts w:hint="eastAsia" w:eastAsia="仿宋_GB2312" w:cs="仿宋_GB2312"/>
          <w:color w:val="auto"/>
          <w:kern w:val="0"/>
          <w:sz w:val="32"/>
          <w:szCs w:val="32"/>
        </w:rPr>
        <w:t>12月底，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本单位</w:t>
      </w:r>
      <w:r>
        <w:rPr>
          <w:rFonts w:hint="eastAsia" w:eastAsia="仿宋_GB2312" w:cs="仿宋_GB2312"/>
          <w:color w:val="auto"/>
          <w:kern w:val="0"/>
          <w:sz w:val="32"/>
          <w:szCs w:val="32"/>
        </w:rPr>
        <w:t>共有车</w:t>
      </w:r>
      <w:r>
        <w:rPr>
          <w:rFonts w:hint="eastAsia" w:eastAsia="仿宋_GB2312" w:cs="仿宋_GB2312"/>
          <w:kern w:val="0"/>
          <w:sz w:val="32"/>
          <w:szCs w:val="32"/>
        </w:rPr>
        <w:t>辆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辆，其中领导干部用车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辆，一般公务用车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辆，其他用车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辆。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单位</w:t>
      </w:r>
      <w:r>
        <w:rPr>
          <w:rFonts w:hint="eastAsia" w:eastAsia="仿宋_GB2312" w:cs="仿宋_GB2312"/>
          <w:kern w:val="0"/>
          <w:sz w:val="32"/>
          <w:szCs w:val="32"/>
        </w:rPr>
        <w:t>价值50万元以上通用设备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台，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单位</w:t>
      </w:r>
      <w:r>
        <w:rPr>
          <w:rFonts w:hint="eastAsia" w:eastAsia="仿宋_GB2312" w:cs="仿宋_GB2312"/>
          <w:kern w:val="0"/>
          <w:sz w:val="32"/>
          <w:szCs w:val="32"/>
        </w:rPr>
        <w:t>价值100万元以上专用设备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eastAsia="仿宋_GB2312" w:cs="仿宋_GB2312"/>
          <w:kern w:val="0"/>
          <w:sz w:val="32"/>
          <w:szCs w:val="32"/>
        </w:rPr>
        <w:t>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2024年度本单位未计划处置或新增车辆、设备等。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  <w:t>（六）预算绩效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val="en-US" w:eastAsia="zh-CN"/>
        </w:rPr>
        <w:t>目标</w:t>
      </w:r>
      <w:r>
        <w:rPr>
          <w:rFonts w:hint="eastAsia" w:ascii="楷体_GB2312" w:hAnsi="楷体_GB2312" w:eastAsia="楷体_GB2312" w:cs="楷体_GB2312"/>
          <w:b/>
          <w:bCs/>
          <w:kern w:val="0"/>
          <w:sz w:val="32"/>
          <w:szCs w:val="32"/>
          <w:lang w:eastAsia="zh-CN"/>
        </w:rPr>
        <w:t>说明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eastAsia="仿宋_GB2312"/>
          <w:bCs/>
          <w:kern w:val="0"/>
          <w:sz w:val="32"/>
          <w:szCs w:val="32"/>
          <w:lang w:eastAsia="zh-CN"/>
        </w:rPr>
        <w:t>本单位</w:t>
      </w:r>
      <w:r>
        <w:rPr>
          <w:rFonts w:eastAsia="仿宋_GB2312"/>
          <w:bCs/>
          <w:kern w:val="0"/>
          <w:sz w:val="32"/>
          <w:szCs w:val="32"/>
        </w:rPr>
        <w:t>所有支出实行绩效目标管理。纳入</w:t>
      </w:r>
      <w:r>
        <w:rPr>
          <w:rFonts w:hint="eastAsia" w:eastAsia="仿宋_GB2312"/>
          <w:bCs/>
          <w:kern w:val="0"/>
          <w:sz w:val="32"/>
          <w:szCs w:val="32"/>
          <w:lang w:eastAsia="zh-CN"/>
        </w:rPr>
        <w:t>2024年单位</w:t>
      </w:r>
      <w:r>
        <w:rPr>
          <w:rFonts w:eastAsia="仿宋_GB2312"/>
          <w:bCs/>
          <w:kern w:val="0"/>
          <w:sz w:val="32"/>
          <w:szCs w:val="32"/>
        </w:rPr>
        <w:t>整体支出绩效目标的金额为</w:t>
      </w:r>
      <w:r>
        <w:rPr>
          <w:rFonts w:hint="eastAsia" w:eastAsia="仿宋_GB2312" w:cs="仿宋_GB2312"/>
          <w:kern w:val="0"/>
          <w:sz w:val="32"/>
          <w:szCs w:val="32"/>
          <w:lang w:eastAsia="zh-CN"/>
        </w:rPr>
        <w:t>738.68</w:t>
      </w:r>
      <w:r>
        <w:rPr>
          <w:rFonts w:eastAsia="仿宋_GB2312"/>
          <w:bCs/>
          <w:kern w:val="0"/>
          <w:sz w:val="32"/>
          <w:szCs w:val="32"/>
        </w:rPr>
        <w:t>万元，其中，基本支出</w:t>
      </w:r>
      <w:r>
        <w:rPr>
          <w:rFonts w:hint="eastAsia" w:eastAsia="仿宋_GB2312" w:cs="仿宋_GB2312"/>
          <w:kern w:val="0"/>
          <w:sz w:val="32"/>
          <w:szCs w:val="32"/>
          <w:lang w:val="en-US" w:eastAsia="zh-CN"/>
        </w:rPr>
        <w:t>390.20</w:t>
      </w:r>
      <w:r>
        <w:rPr>
          <w:rFonts w:eastAsia="仿宋_GB2312"/>
          <w:bCs/>
          <w:kern w:val="0"/>
          <w:sz w:val="32"/>
          <w:szCs w:val="32"/>
        </w:rPr>
        <w:t>万元，项目支出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348.48</w:t>
      </w:r>
      <w:r>
        <w:rPr>
          <w:rFonts w:eastAsia="仿宋_GB2312"/>
          <w:bCs/>
          <w:kern w:val="0"/>
          <w:sz w:val="32"/>
          <w:szCs w:val="32"/>
        </w:rPr>
        <w:t>万元，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详见文尾附表中单位预算公开表格的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val="en-US" w:eastAsia="zh-CN"/>
        </w:rPr>
        <w:t>表22-23</w:t>
      </w:r>
      <w:r>
        <w:rPr>
          <w:rFonts w:hint="eastAsia" w:eastAsia="仿宋_GB2312" w:cs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kern w:val="0"/>
          <w:sz w:val="32"/>
          <w:szCs w:val="32"/>
        </w:rPr>
        <w:t>、名词解释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1、机关运行经费：是指各单位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 xml:space="preserve">2、“三公”经费：纳入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eastAsia="黑体" w:cs="黑体"/>
          <w:kern w:val="0"/>
          <w:sz w:val="32"/>
          <w:szCs w:val="32"/>
        </w:rPr>
        <w:t>第二部分</w:t>
      </w:r>
      <w:r>
        <w:rPr>
          <w:rFonts w:hint="eastAsia" w:eastAsia="黑体" w:cs="黑体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eastAsia="黑体" w:cs="黑体"/>
          <w:kern w:val="0"/>
          <w:sz w:val="32"/>
          <w:szCs w:val="32"/>
          <w:lang w:eastAsia="zh-CN"/>
        </w:rPr>
        <w:t>单位预算</w:t>
      </w:r>
      <w:r>
        <w:rPr>
          <w:rFonts w:hint="eastAsia" w:eastAsia="黑体" w:cs="黑体"/>
          <w:kern w:val="0"/>
          <w:sz w:val="32"/>
          <w:szCs w:val="32"/>
          <w:lang w:val="en-US" w:eastAsia="zh-CN"/>
        </w:rPr>
        <w:t>公开</w:t>
      </w:r>
      <w:r>
        <w:rPr>
          <w:rFonts w:hint="eastAsia" w:eastAsia="黑体" w:cs="黑体"/>
          <w:kern w:val="0"/>
          <w:sz w:val="32"/>
          <w:szCs w:val="32"/>
        </w:rPr>
        <w:t>表</w:t>
      </w:r>
      <w:r>
        <w:rPr>
          <w:rFonts w:hint="eastAsia" w:eastAsia="黑体" w:cs="黑体"/>
          <w:kern w:val="0"/>
          <w:sz w:val="32"/>
          <w:szCs w:val="32"/>
          <w:lang w:val="en-US" w:eastAsia="zh-CN"/>
        </w:rPr>
        <w:t>格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/>
        <w:snapToGrid/>
        <w:spacing w:line="600" w:lineRule="exact"/>
        <w:ind w:firstLine="11520" w:firstLineChars="3600"/>
        <w:textAlignment w:val="auto"/>
        <w:rPr>
          <w:rFonts w:hint="default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eastAsia="黑体" w:cs="黑体"/>
          <w:kern w:val="0"/>
          <w:sz w:val="32"/>
          <w:szCs w:val="32"/>
          <w:lang w:eastAsia="zh-CN"/>
        </w:rPr>
        <w:t>附附件：</w:t>
      </w:r>
      <w:r>
        <w:rPr>
          <w:rFonts w:hint="eastAsia" w:eastAsia="黑体" w:cs="黑体"/>
          <w:kern w:val="0"/>
          <w:sz w:val="32"/>
          <w:szCs w:val="32"/>
          <w:lang w:val="en-US" w:eastAsia="zh-CN"/>
        </w:rPr>
        <w:t>岳阳县文化馆单位预算公开表格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5D34B10-3A4D-4E70-AD45-56C3F661966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F5CAA774-A97C-4A1E-B155-AEF2F14F898E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3" w:fontKey="{533EF00C-3537-4DB5-A6F6-49837240D12B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466ECF74-03C8-4A7C-8245-37737201D2AF}"/>
  </w:font>
  <w:font w:name="inheri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  <w:embedRegular r:id="rId5" w:fontKey="{BEF61627-4685-433E-9C59-B3B39A431D8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5B293345-73CB-4D3D-8464-CA3F503C4B81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7" w:fontKey="{A1DA1C63-80DD-44F3-95C3-FBE358EC3AB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4ODAzYWI3YTMwMjNkYjY2ODU3M2Q2ODhjMGI3MTEifQ=="/>
  </w:docVars>
  <w:rsids>
    <w:rsidRoot w:val="00CA5057"/>
    <w:rsid w:val="00001697"/>
    <w:rsid w:val="000034D6"/>
    <w:rsid w:val="0006270B"/>
    <w:rsid w:val="00065DA2"/>
    <w:rsid w:val="00117900"/>
    <w:rsid w:val="001336FC"/>
    <w:rsid w:val="00144F71"/>
    <w:rsid w:val="00193395"/>
    <w:rsid w:val="001A0136"/>
    <w:rsid w:val="001A3382"/>
    <w:rsid w:val="001A3861"/>
    <w:rsid w:val="001A6377"/>
    <w:rsid w:val="001C6E63"/>
    <w:rsid w:val="001D154A"/>
    <w:rsid w:val="001F365A"/>
    <w:rsid w:val="00203B0A"/>
    <w:rsid w:val="0025517E"/>
    <w:rsid w:val="00270E85"/>
    <w:rsid w:val="002B0968"/>
    <w:rsid w:val="002C117B"/>
    <w:rsid w:val="002F5747"/>
    <w:rsid w:val="002F57F8"/>
    <w:rsid w:val="00344D3D"/>
    <w:rsid w:val="003457B4"/>
    <w:rsid w:val="00355284"/>
    <w:rsid w:val="003C0AE2"/>
    <w:rsid w:val="003C0E16"/>
    <w:rsid w:val="003C62F5"/>
    <w:rsid w:val="003E6642"/>
    <w:rsid w:val="00452611"/>
    <w:rsid w:val="00464A20"/>
    <w:rsid w:val="00466617"/>
    <w:rsid w:val="004711E9"/>
    <w:rsid w:val="00490880"/>
    <w:rsid w:val="0049696B"/>
    <w:rsid w:val="004A0D4C"/>
    <w:rsid w:val="004A798F"/>
    <w:rsid w:val="004B4F1A"/>
    <w:rsid w:val="004B766D"/>
    <w:rsid w:val="004D0879"/>
    <w:rsid w:val="004E302C"/>
    <w:rsid w:val="0054440F"/>
    <w:rsid w:val="005E6320"/>
    <w:rsid w:val="006137D9"/>
    <w:rsid w:val="00617392"/>
    <w:rsid w:val="00637664"/>
    <w:rsid w:val="00687143"/>
    <w:rsid w:val="00695750"/>
    <w:rsid w:val="006C1259"/>
    <w:rsid w:val="006E013D"/>
    <w:rsid w:val="006E335E"/>
    <w:rsid w:val="006F2FD2"/>
    <w:rsid w:val="00714685"/>
    <w:rsid w:val="00754296"/>
    <w:rsid w:val="00755471"/>
    <w:rsid w:val="007B0161"/>
    <w:rsid w:val="007C48A3"/>
    <w:rsid w:val="00812DE3"/>
    <w:rsid w:val="00832EBB"/>
    <w:rsid w:val="008459F5"/>
    <w:rsid w:val="008511BD"/>
    <w:rsid w:val="00854FCA"/>
    <w:rsid w:val="0085589C"/>
    <w:rsid w:val="008827C7"/>
    <w:rsid w:val="00893563"/>
    <w:rsid w:val="008974A0"/>
    <w:rsid w:val="008C1057"/>
    <w:rsid w:val="008E61DB"/>
    <w:rsid w:val="008E6571"/>
    <w:rsid w:val="009143CB"/>
    <w:rsid w:val="0093410B"/>
    <w:rsid w:val="00990520"/>
    <w:rsid w:val="00995AF1"/>
    <w:rsid w:val="009D1CA3"/>
    <w:rsid w:val="009D450C"/>
    <w:rsid w:val="009E5041"/>
    <w:rsid w:val="009E7921"/>
    <w:rsid w:val="00A0350C"/>
    <w:rsid w:val="00A03C0E"/>
    <w:rsid w:val="00A867C6"/>
    <w:rsid w:val="00AA481C"/>
    <w:rsid w:val="00AB576D"/>
    <w:rsid w:val="00AB6861"/>
    <w:rsid w:val="00AC160E"/>
    <w:rsid w:val="00B0403C"/>
    <w:rsid w:val="00B21CBD"/>
    <w:rsid w:val="00B366B4"/>
    <w:rsid w:val="00B82665"/>
    <w:rsid w:val="00BC04D7"/>
    <w:rsid w:val="00BE4229"/>
    <w:rsid w:val="00BF5A08"/>
    <w:rsid w:val="00C36022"/>
    <w:rsid w:val="00C5316A"/>
    <w:rsid w:val="00CA5057"/>
    <w:rsid w:val="00CB1E6F"/>
    <w:rsid w:val="00CB5C8F"/>
    <w:rsid w:val="00CF2BA3"/>
    <w:rsid w:val="00D1730A"/>
    <w:rsid w:val="00D279D7"/>
    <w:rsid w:val="00D60DAB"/>
    <w:rsid w:val="00D75CFA"/>
    <w:rsid w:val="00D84D40"/>
    <w:rsid w:val="00D96317"/>
    <w:rsid w:val="00DB63BF"/>
    <w:rsid w:val="00DD2BA7"/>
    <w:rsid w:val="00DD573A"/>
    <w:rsid w:val="00E01BD5"/>
    <w:rsid w:val="00E179D0"/>
    <w:rsid w:val="00E24DC7"/>
    <w:rsid w:val="00E419D9"/>
    <w:rsid w:val="00E5547E"/>
    <w:rsid w:val="00E75085"/>
    <w:rsid w:val="00EA5C43"/>
    <w:rsid w:val="00EC052E"/>
    <w:rsid w:val="00F05F5B"/>
    <w:rsid w:val="00F06D7F"/>
    <w:rsid w:val="00F078E9"/>
    <w:rsid w:val="00F24836"/>
    <w:rsid w:val="00F36C19"/>
    <w:rsid w:val="00F74B02"/>
    <w:rsid w:val="00FB0434"/>
    <w:rsid w:val="00FB1B41"/>
    <w:rsid w:val="00FB3CC9"/>
    <w:rsid w:val="00FE2E8C"/>
    <w:rsid w:val="02833867"/>
    <w:rsid w:val="02DF562C"/>
    <w:rsid w:val="032D48E5"/>
    <w:rsid w:val="039837D0"/>
    <w:rsid w:val="042F62B6"/>
    <w:rsid w:val="04335DA6"/>
    <w:rsid w:val="04497920"/>
    <w:rsid w:val="069419C6"/>
    <w:rsid w:val="070C65B9"/>
    <w:rsid w:val="08281851"/>
    <w:rsid w:val="09327787"/>
    <w:rsid w:val="0AF15A72"/>
    <w:rsid w:val="0B5C0021"/>
    <w:rsid w:val="0C0C6008"/>
    <w:rsid w:val="0C4F7AFC"/>
    <w:rsid w:val="0D5B6622"/>
    <w:rsid w:val="0D8970B2"/>
    <w:rsid w:val="0E064421"/>
    <w:rsid w:val="0EB846B3"/>
    <w:rsid w:val="0ED234CD"/>
    <w:rsid w:val="0F654CC7"/>
    <w:rsid w:val="0F9E0A26"/>
    <w:rsid w:val="0FF13EE2"/>
    <w:rsid w:val="12041C48"/>
    <w:rsid w:val="1231570E"/>
    <w:rsid w:val="15D8652F"/>
    <w:rsid w:val="15D9563A"/>
    <w:rsid w:val="181810E3"/>
    <w:rsid w:val="183439D8"/>
    <w:rsid w:val="19420C90"/>
    <w:rsid w:val="19AA220F"/>
    <w:rsid w:val="19D5374E"/>
    <w:rsid w:val="1A4D6694"/>
    <w:rsid w:val="1AC31CB7"/>
    <w:rsid w:val="1B952161"/>
    <w:rsid w:val="1BEF6124"/>
    <w:rsid w:val="1F1F1226"/>
    <w:rsid w:val="1FA12E5F"/>
    <w:rsid w:val="26570D53"/>
    <w:rsid w:val="27D848B8"/>
    <w:rsid w:val="2BEF737C"/>
    <w:rsid w:val="2CDB483B"/>
    <w:rsid w:val="2ECD0C4F"/>
    <w:rsid w:val="2FC40521"/>
    <w:rsid w:val="3405688C"/>
    <w:rsid w:val="343835A7"/>
    <w:rsid w:val="34E11E02"/>
    <w:rsid w:val="35085527"/>
    <w:rsid w:val="367E56C3"/>
    <w:rsid w:val="388764A3"/>
    <w:rsid w:val="3AD735EE"/>
    <w:rsid w:val="3BC82B6A"/>
    <w:rsid w:val="3DEE3AD2"/>
    <w:rsid w:val="3E4D3BDD"/>
    <w:rsid w:val="3E813CBF"/>
    <w:rsid w:val="3F7927D8"/>
    <w:rsid w:val="41DA7DB9"/>
    <w:rsid w:val="433A4E85"/>
    <w:rsid w:val="447637E8"/>
    <w:rsid w:val="46334724"/>
    <w:rsid w:val="46F340C9"/>
    <w:rsid w:val="49EF4858"/>
    <w:rsid w:val="4AD67CC5"/>
    <w:rsid w:val="4AE9742D"/>
    <w:rsid w:val="4BA67C06"/>
    <w:rsid w:val="4CA46ED7"/>
    <w:rsid w:val="4D013E21"/>
    <w:rsid w:val="4D8D7228"/>
    <w:rsid w:val="4DDD2C7F"/>
    <w:rsid w:val="4E147F73"/>
    <w:rsid w:val="4EA931BA"/>
    <w:rsid w:val="4F1826FF"/>
    <w:rsid w:val="4FCD194B"/>
    <w:rsid w:val="506C2AB0"/>
    <w:rsid w:val="51CB3A8E"/>
    <w:rsid w:val="524456CC"/>
    <w:rsid w:val="53344C63"/>
    <w:rsid w:val="5437467A"/>
    <w:rsid w:val="54604425"/>
    <w:rsid w:val="54F478A3"/>
    <w:rsid w:val="55295806"/>
    <w:rsid w:val="55D3446A"/>
    <w:rsid w:val="593F63D3"/>
    <w:rsid w:val="5B423ECD"/>
    <w:rsid w:val="5BAE6D9A"/>
    <w:rsid w:val="5C166E0B"/>
    <w:rsid w:val="5C781AC0"/>
    <w:rsid w:val="5CDA4DA9"/>
    <w:rsid w:val="5D466B0F"/>
    <w:rsid w:val="5F09470F"/>
    <w:rsid w:val="60A03DAA"/>
    <w:rsid w:val="61F50CD8"/>
    <w:rsid w:val="62820F98"/>
    <w:rsid w:val="63376618"/>
    <w:rsid w:val="64035B71"/>
    <w:rsid w:val="64A96679"/>
    <w:rsid w:val="64DB31B9"/>
    <w:rsid w:val="65C24764"/>
    <w:rsid w:val="66571397"/>
    <w:rsid w:val="681842B0"/>
    <w:rsid w:val="688B12C0"/>
    <w:rsid w:val="689E66A8"/>
    <w:rsid w:val="6AE87D9C"/>
    <w:rsid w:val="6D0B588B"/>
    <w:rsid w:val="6D6B5DC9"/>
    <w:rsid w:val="6F615109"/>
    <w:rsid w:val="6F8561D3"/>
    <w:rsid w:val="70271B5B"/>
    <w:rsid w:val="71AC0C24"/>
    <w:rsid w:val="73FB2961"/>
    <w:rsid w:val="75344BFC"/>
    <w:rsid w:val="7547419D"/>
    <w:rsid w:val="76286F0E"/>
    <w:rsid w:val="762B56CB"/>
    <w:rsid w:val="773C67F0"/>
    <w:rsid w:val="77C3648D"/>
    <w:rsid w:val="77E33076"/>
    <w:rsid w:val="789A2290"/>
    <w:rsid w:val="7DFA5EB0"/>
    <w:rsid w:val="7E3E736E"/>
    <w:rsid w:val="7EFE5E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99"/>
    <w:pPr>
      <w:spacing w:before="120" w:after="200" w:line="276" w:lineRule="auto"/>
    </w:pPr>
    <w:rPr>
      <w:rFonts w:ascii="Arial" w:hAnsi="Arial"/>
      <w:sz w:val="24"/>
    </w:rPr>
  </w:style>
  <w:style w:type="paragraph" w:styleId="3">
    <w:name w:val="Body Text"/>
    <w:basedOn w:val="1"/>
    <w:link w:val="1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Balloon Text"/>
    <w:basedOn w:val="1"/>
    <w:link w:val="13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1">
    <w:name w:val="Body Text Char"/>
    <w:basedOn w:val="10"/>
    <w:link w:val="3"/>
    <w:qFormat/>
    <w:locked/>
    <w:uiPriority w:val="0"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12">
    <w:name w:val="Date Char"/>
    <w:basedOn w:val="10"/>
    <w:link w:val="4"/>
    <w:qFormat/>
    <w:locked/>
    <w:uiPriority w:val="0"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13">
    <w:name w:val="Balloon Text Char"/>
    <w:basedOn w:val="10"/>
    <w:link w:val="5"/>
    <w:qFormat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4">
    <w:name w:val="Footer Char"/>
    <w:basedOn w:val="10"/>
    <w:link w:val="6"/>
    <w:qFormat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Header Char"/>
    <w:basedOn w:val="10"/>
    <w:link w:val="7"/>
    <w:qFormat/>
    <w:locked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16">
    <w:name w:val="表格内容"/>
    <w:basedOn w:val="3"/>
    <w:qFormat/>
    <w:uiPriority w:val="0"/>
    <w:pPr>
      <w:suppressLineNumbers/>
      <w:suppressAutoHyphens/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Corporation</Company>
  <Pages>7</Pages>
  <Words>2477</Words>
  <Characters>2713</Characters>
  <Lines>38</Lines>
  <Paragraphs>10</Paragraphs>
  <TotalTime>1</TotalTime>
  <ScaleCrop>false</ScaleCrop>
  <LinksUpToDate>false</LinksUpToDate>
  <CharactersWithSpaces>2735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2018-08-09T00:21:00Z</dcterms:created>
  <dc:creator>周继恩 10.105.113.143</dc:creator>
  <cp:lastModifiedBy>亍宝他爸</cp:lastModifiedBy>
  <cp:lastPrinted>2019-05-05T07:55:00Z</cp:lastPrinted>
  <dcterms:modified xsi:type="dcterms:W3CDTF">2024-03-15T10:20:53Z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5E8BD144427B4992B6AB84D4B376F7F3</vt:lpwstr>
  </property>
</Properties>
</file>