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ascii="黑体" w:hAnsi="黑体" w:eastAsia="黑体" w:cs="黑体"/>
          <w:bCs/>
          <w:sz w:val="32"/>
          <w:szCs w:val="32"/>
        </w:rPr>
      </w:pPr>
      <w:r>
        <w:rPr>
          <w:rFonts w:hint="eastAsia" w:ascii="黑体" w:hAnsi="黑体" w:eastAsia="黑体" w:cs="黑体"/>
          <w:bCs/>
          <w:sz w:val="32"/>
          <w:szCs w:val="32"/>
        </w:rPr>
        <w:t>附件</w:t>
      </w:r>
      <w:r>
        <w:rPr>
          <w:rFonts w:ascii="黑体" w:hAnsi="黑体" w:eastAsia="黑体" w:cs="黑体"/>
          <w:bCs/>
          <w:sz w:val="32"/>
          <w:szCs w:val="32"/>
        </w:rPr>
        <w:t>2-1</w:t>
      </w:r>
    </w:p>
    <w:p>
      <w:pPr>
        <w:spacing w:line="348" w:lineRule="auto"/>
        <w:jc w:val="center"/>
        <w:rPr>
          <w:rFonts w:eastAsia="方正小标宋简体"/>
          <w:bCs/>
          <w:sz w:val="42"/>
          <w:szCs w:val="42"/>
        </w:rPr>
      </w:pPr>
    </w:p>
    <w:p>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eastAsia="方正小标宋简体"/>
          <w:bCs/>
          <w:sz w:val="46"/>
          <w:szCs w:val="46"/>
          <w:u w:val="single"/>
        </w:rPr>
        <w:t>2</w:t>
      </w:r>
      <w:r>
        <w:rPr>
          <w:rFonts w:hint="eastAsia" w:eastAsia="方正小标宋简体"/>
          <w:bCs/>
          <w:sz w:val="46"/>
          <w:szCs w:val="46"/>
          <w:u w:val="single"/>
          <w:lang w:val="en-US" w:eastAsia="zh-CN"/>
        </w:rPr>
        <w:t>2</w:t>
      </w:r>
      <w:r>
        <w:rPr>
          <w:rFonts w:hint="eastAsia" w:eastAsia="方正小标宋简体"/>
          <w:bCs/>
          <w:sz w:val="46"/>
          <w:szCs w:val="46"/>
        </w:rPr>
        <w:t>年度部门整体支出</w:t>
      </w:r>
    </w:p>
    <w:p>
      <w:pPr>
        <w:spacing w:line="800" w:lineRule="exact"/>
        <w:jc w:val="center"/>
        <w:rPr>
          <w:rFonts w:eastAsia="方正小标宋简体"/>
          <w:bCs/>
          <w:sz w:val="46"/>
          <w:szCs w:val="46"/>
        </w:rPr>
      </w:pPr>
      <w:r>
        <w:rPr>
          <w:rFonts w:hint="eastAsia" w:eastAsia="方正小标宋简体"/>
          <w:bCs/>
          <w:sz w:val="46"/>
          <w:szCs w:val="46"/>
        </w:rPr>
        <w:t>绩效评价自评报告</w:t>
      </w:r>
    </w:p>
    <w:p>
      <w:pPr>
        <w:rPr>
          <w:rFonts w:eastAsia="仿宋_GB2312"/>
          <w:b/>
          <w:sz w:val="32"/>
        </w:rPr>
      </w:pPr>
    </w:p>
    <w:p>
      <w:pPr>
        <w:rPr>
          <w:rFonts w:eastAsia="仿宋_GB2312"/>
          <w:b/>
          <w:sz w:val="32"/>
        </w:rPr>
      </w:pPr>
    </w:p>
    <w:p>
      <w:pPr>
        <w:rPr>
          <w:rFonts w:eastAsia="仿宋_GB2312"/>
          <w:b/>
          <w:sz w:val="32"/>
        </w:rPr>
      </w:pPr>
    </w:p>
    <w:p>
      <w:pPr>
        <w:spacing w:beforeLines="50" w:line="348" w:lineRule="auto"/>
        <w:ind w:firstLine="476" w:firstLineChars="150"/>
        <w:rPr>
          <w:rFonts w:hint="eastAsia" w:eastAsia="仿宋_GB2312"/>
          <w:sz w:val="32"/>
          <w:szCs w:val="32"/>
          <w:u w:val="single"/>
          <w:lang w:eastAsia="zh-CN"/>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hint="eastAsia" w:eastAsia="仿宋_GB2312"/>
          <w:sz w:val="32"/>
          <w:szCs w:val="32"/>
          <w:lang w:eastAsia="zh-CN"/>
        </w:rPr>
        <w:t>公田镇人民政府</w:t>
      </w:r>
    </w:p>
    <w:p>
      <w:pPr>
        <w:spacing w:beforeLines="50" w:line="348" w:lineRule="auto"/>
        <w:ind w:firstLine="476" w:firstLineChars="150"/>
        <w:rPr>
          <w:rFonts w:eastAsia="仿宋_GB2312"/>
          <w:sz w:val="32"/>
          <w:szCs w:val="32"/>
        </w:rPr>
      </w:pPr>
      <w:r>
        <w:rPr>
          <w:rFonts w:hint="eastAsia" w:eastAsia="仿宋_GB2312"/>
          <w:sz w:val="32"/>
          <w:szCs w:val="32"/>
        </w:rPr>
        <w:t>预</w:t>
      </w:r>
      <w:r>
        <w:rPr>
          <w:rFonts w:hint="eastAsia" w:eastAsia="仿宋_GB2312"/>
          <w:spacing w:val="30"/>
          <w:sz w:val="32"/>
          <w:szCs w:val="32"/>
        </w:rPr>
        <w:t>算编码：</w:t>
      </w:r>
      <w:r>
        <w:rPr>
          <w:rFonts w:hint="eastAsia" w:eastAsia="仿宋_GB2312"/>
          <w:spacing w:val="30"/>
          <w:sz w:val="32"/>
          <w:szCs w:val="32"/>
          <w:lang w:val="en-US" w:eastAsia="zh-CN"/>
        </w:rPr>
        <w:t>704001</w:t>
      </w:r>
      <w:r>
        <w:rPr>
          <w:rFonts w:hint="eastAsia" w:eastAsia="仿宋_GB2312"/>
          <w:sz w:val="32"/>
          <w:szCs w:val="32"/>
        </w:rPr>
        <w:t>评价方式：部门（单位）绩效自评</w:t>
      </w:r>
    </w:p>
    <w:p>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348" w:lineRule="auto"/>
        <w:jc w:val="center"/>
        <w:rPr>
          <w:rFonts w:eastAsia="仿宋_GB2312"/>
          <w:sz w:val="32"/>
        </w:rPr>
      </w:pPr>
      <w:r>
        <w:rPr>
          <w:rFonts w:hint="eastAsia" w:eastAsia="仿宋_GB2312"/>
          <w:sz w:val="32"/>
        </w:rPr>
        <w:t>报告日期</w:t>
      </w:r>
      <w:r>
        <w:rPr>
          <w:rFonts w:hint="eastAsia" w:eastAsia="仿宋_GB2312"/>
          <w:sz w:val="32"/>
          <w:lang w:eastAsia="zh-CN"/>
        </w:rPr>
        <w:t>：</w:t>
      </w:r>
      <w:r>
        <w:rPr>
          <w:rFonts w:hint="eastAsia" w:eastAsia="仿宋_GB2312"/>
          <w:sz w:val="32"/>
          <w:lang w:val="en-US" w:eastAsia="zh-CN"/>
        </w:rPr>
        <w:t>2022</w:t>
      </w:r>
      <w:r>
        <w:rPr>
          <w:rFonts w:hint="eastAsia" w:eastAsia="仿宋_GB2312"/>
          <w:sz w:val="32"/>
        </w:rPr>
        <w:t>年</w:t>
      </w:r>
      <w:r>
        <w:rPr>
          <w:rFonts w:hint="eastAsia" w:eastAsia="仿宋_GB2312"/>
          <w:sz w:val="32"/>
          <w:lang w:val="en-US" w:eastAsia="zh-CN"/>
        </w:rPr>
        <w:t>8</w:t>
      </w:r>
      <w:r>
        <w:rPr>
          <w:rFonts w:hint="eastAsia" w:eastAsia="仿宋_GB2312"/>
          <w:sz w:val="32"/>
        </w:rPr>
        <w:t>月</w:t>
      </w:r>
      <w:r>
        <w:rPr>
          <w:rFonts w:hint="eastAsia" w:eastAsia="仿宋_GB2312"/>
          <w:sz w:val="32"/>
          <w:lang w:val="en-US" w:eastAsia="zh-CN"/>
        </w:rPr>
        <w:t>3</w:t>
      </w:r>
      <w:r>
        <w:rPr>
          <w:rFonts w:hint="eastAsia" w:eastAsia="仿宋_GB2312"/>
          <w:sz w:val="32"/>
        </w:rPr>
        <w:t>日</w:t>
      </w:r>
    </w:p>
    <w:p>
      <w:pPr>
        <w:autoSpaceDN w:val="0"/>
        <w:jc w:val="center"/>
        <w:textAlignment w:val="center"/>
        <w:rPr>
          <w:rFonts w:eastAsia="仿宋_GB2312"/>
          <w:sz w:val="32"/>
          <w:szCs w:val="32"/>
        </w:rPr>
      </w:pPr>
    </w:p>
    <w:p>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9"/>
        <w:tblW w:w="98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78"/>
        <w:gridCol w:w="363"/>
        <w:gridCol w:w="1339"/>
        <w:gridCol w:w="210"/>
        <w:gridCol w:w="868"/>
        <w:gridCol w:w="549"/>
        <w:gridCol w:w="808"/>
        <w:gridCol w:w="1479"/>
        <w:gridCol w:w="226"/>
        <w:gridCol w:w="196"/>
        <w:gridCol w:w="259"/>
        <w:gridCol w:w="1080"/>
        <w:gridCol w:w="265"/>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4137" w:type="dxa"/>
            <w:gridSpan w:val="6"/>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彭祥</w:t>
            </w:r>
          </w:p>
        </w:tc>
        <w:tc>
          <w:tcPr>
            <w:tcW w:w="1479"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106" w:type="dxa"/>
            <w:gridSpan w:val="8"/>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13874019227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4137" w:type="dxa"/>
            <w:gridSpan w:val="6"/>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108</w:t>
            </w:r>
          </w:p>
        </w:tc>
        <w:tc>
          <w:tcPr>
            <w:tcW w:w="1479"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106" w:type="dxa"/>
            <w:gridSpan w:val="8"/>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56"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722" w:type="dxa"/>
            <w:gridSpan w:val="15"/>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政府具有党委和政府两种职能，党委领导政府工作。主要是政治思想和方针政策的领导，干部的选拔，考核和监督，经济和行政工作中重大问题的决策。镇政府是基层国家行政机关，行使本行政区的行政职能。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64"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722" w:type="dxa"/>
            <w:gridSpan w:val="15"/>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稳打稳扎，确保综合实力稳步提升</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决战决胜，确保脱贫攻坚圆满收官</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w:t>
            </w:r>
            <w:r>
              <w:rPr>
                <w:rFonts w:ascii="仿宋_GB2312" w:hAnsi="仿宋_GB2312" w:eastAsia="仿宋_GB2312" w:cs="仿宋_GB2312"/>
                <w:color w:val="000000"/>
                <w:sz w:val="24"/>
              </w:rPr>
              <w:t>3</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聚焦聚力，确保疫情防控成效显著</w:t>
            </w:r>
          </w:p>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4：加力加速，确保城乡建设提质增效</w:t>
            </w:r>
          </w:p>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任务5：应保尽保，确保民生保障不断增强</w:t>
            </w:r>
          </w:p>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任务6：善作善成，确保自身建设不断加强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60"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722" w:type="dxa"/>
            <w:gridSpan w:val="15"/>
            <w:tcMar>
              <w:top w:w="0" w:type="dxa"/>
              <w:left w:w="15" w:type="dxa"/>
              <w:bottom w:w="0" w:type="dxa"/>
              <w:right w:w="15" w:type="dxa"/>
            </w:tcMar>
            <w:vAlign w:val="center"/>
          </w:tcPr>
          <w:p>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一年来，我们坚持党建引领促发展，构建基层治理新格局。推进“五到五促”联系服务群众，引导全镇各级党组织和党员在森林防火、疫情防控、安全生产等中心工作中亮旗帜、亮身份，组织志愿服务85余次，办理民生实事150余件。组织党的二十大精神专题党课4场、微宣讲14余次。</w:t>
            </w:r>
          </w:p>
          <w:p>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一年来，我们坚持真抓实干引项目，实现基础设施新跨越。先后完成拦河坝绿水工程5座、集镇河道面貌大为改观；投入抗旱专项资金200余万元，建设抗旱机埠2个，调动小型抗旱提水泵150台，尽最大可能减少群众农业生产损失。有序开展高标准农田建设，创新农业经营机制加快土地流转，流转土地18000亩，全年落实早稻种植面积3.8万亩、一季稻0.8万亩、晚稻3.7万亩、旱粮0.6万亩，产粮大镇地位持续巩固。扎实推进人居环境整治，采取明查暗访互评等方式，对各村（居）人居环境整治每月一评，对排名倒数第一的村，由镇机关支部到该村开展环境卫生主题党日活动，全镇卫生情况得到极大改观。加大保洁费收取力度，完成新改建厕所299户。设立森林防火检查站26个，购置便携式防灭火设备16台、小型灭火车1台，坚决打赢了“蓝天保卫战”，全年无一起重大火灾发生。</w:t>
            </w:r>
          </w:p>
          <w:p>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3、一年来，我们坚持以民为本增福祉，推动幸福指数新提升。一是扎实推进教育医疗事业，营造了尊师重教的浓厚氛围。同时抓实抓好疫情防控及疫苗接种工作，有力保障了人民群众的身体健康。二是扎实推进社会保障，重视社会保障体系建设，强力推进医保、社保征缴工作；做好困难群体托底保障工作，城乡低保、特困供养、临时救助等政策已全部落实到位。三是厚植文明乡风，利用3.8节召开妇女户主会，完善村规民约；四是推进殡葬改革，严格落实市县违建墓地整治行动要求，共拆除活人墓114座236孔，拆除整治违规墓地103座122孔，迁移已葬墓9座11孔；以村级公益性公墓规划为突破口，探索建立规范殡葬服务管理的长效机制。</w:t>
            </w:r>
          </w:p>
          <w:p>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4、一年来，我们坚持精心谋划兴产业，展现乡村振兴新作为。一是在巩固拓展脱贫成果与乡村振兴有效衔接上持续加力，对全镇“六类”重点人群每季度开展1次入户大排查，新识别监测户16户32人；采取“一户一策”，落实产业帮扶、就业帮扶、社会救助、综合保障等帮扶措施，确保不发生规模性返贫，圆满完成省、市、县巩固拓展脱贫攻坚成果同乡村振兴有效衔接检查，获评县乡村振兴工作先进单位荣誉称号。二是拓展新型产业，构建了以饶港瓜蒌，铁山瓜蒌黄精、港口扶贫工厂为形象的村新型产业。三是壮大集体经济，引导村级集体经济面向市场，发挥资源优势。</w:t>
            </w:r>
          </w:p>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 w:hAnsi="仿宋" w:eastAsia="仿宋" w:cs="仿宋"/>
                <w:kern w:val="2"/>
                <w:sz w:val="21"/>
                <w:szCs w:val="21"/>
                <w:lang w:val="en-US" w:eastAsia="zh-CN" w:bidi="ar-SA"/>
              </w:rPr>
              <w:t>5、一年来，我们坚持履职尽责守底线，筑牢风险防范新屏障。一是提升执法效能。实施综合行政执法改革，从工作阵地打造、执法队伍整合、执法体系构建、执法事项梳理和执法力量下沉等五个方面入手，构建权责明确、运转有序、协同高效的综合行政执法体系。组织开展居民自建房安全专项整治及百日攻坚行动，完成经营性房屋排查564栋，非经营性自建房排查9766栋，对存在严重安全隐患的非经营居民自建房11栋，已完成拆除11栋；全年开展控建拆违行动30余次，违法乱占耕地及违法建设皆已清零并无新增。二是抓牢底线工作。组织全体镇村干部、重点岗位从业人员开展涉毒毛发检测，共检测432人，合格率100%。落实安全生产“党政同责、一岗双责”制，累计开展各类安全生产督导检查60余次，排查整改隐患489处，整改率达98.7%；开展交通顽瘴痼疾联合执法48次，查处交通违法586起，查处量同比增长了45%，事故起数和死亡人数实现双下降，被授予省级平安乡镇荣誉称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078" w:type="dxa"/>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14" w:hRule="atLeast"/>
          <w:jc w:val="center"/>
        </w:trPr>
        <w:tc>
          <w:tcPr>
            <w:tcW w:w="1078" w:type="dxa"/>
            <w:vMerge w:val="continue"/>
            <w:vAlign w:val="center"/>
          </w:tcPr>
          <w:p>
            <w:pPr>
              <w:widowControl/>
              <w:jc w:val="left"/>
              <w:rPr>
                <w:rFonts w:ascii="仿宋_GB2312" w:hAnsi="仿宋_GB2312" w:eastAsia="仿宋_GB2312" w:cs="仿宋_GB2312"/>
                <w:color w:val="000000"/>
                <w:sz w:val="24"/>
              </w:rPr>
            </w:pPr>
          </w:p>
        </w:tc>
        <w:tc>
          <w:tcPr>
            <w:tcW w:w="1702" w:type="dxa"/>
            <w:gridSpan w:val="2"/>
            <w:vMerge w:val="continue"/>
            <w:tcBorders>
              <w:right w:val="single" w:color="auto" w:sz="4" w:space="0"/>
            </w:tcBorders>
            <w:vAlign w:val="center"/>
          </w:tcPr>
          <w:p>
            <w:pPr>
              <w:widowControl/>
              <w:jc w:val="left"/>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2"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lang w:val="en-US" w:eastAsia="zh-CN"/>
              </w:rPr>
              <w:t>9189.97</w:t>
            </w: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auto"/>
                <w:sz w:val="24"/>
              </w:rPr>
            </w:pP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4411.65</w:t>
            </w:r>
          </w:p>
        </w:tc>
        <w:tc>
          <w:tcPr>
            <w:tcW w:w="1705"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4778.32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pPr>
              <w:numPr>
                <w:ilvl w:val="0"/>
                <w:numId w:val="2"/>
              </w:numPr>
              <w:spacing w:line="320" w:lineRule="exact"/>
              <w:rPr>
                <w:rFonts w:ascii="仿宋_GB2312" w:hAnsi="仿宋_GB2312" w:eastAsia="仿宋_GB2312" w:cs="仿宋_GB2312"/>
                <w:sz w:val="24"/>
              </w:rPr>
            </w:pPr>
            <w:r>
              <w:rPr>
                <w:rFonts w:hint="eastAsia" w:ascii="仿宋_GB2312" w:hAnsi="仿宋_GB2312" w:eastAsia="仿宋_GB2312" w:cs="仿宋_GB2312"/>
                <w:sz w:val="24"/>
                <w:lang w:eastAsia="zh-CN"/>
              </w:rPr>
              <w:t>镇</w:t>
            </w:r>
            <w:r>
              <w:rPr>
                <w:rFonts w:hint="eastAsia" w:ascii="仿宋_GB2312" w:hAnsi="仿宋_GB2312" w:eastAsia="仿宋_GB2312" w:cs="仿宋_GB2312"/>
                <w:sz w:val="24"/>
              </w:rPr>
              <w:t>机关</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lang w:val="en-US" w:eastAsia="zh-CN"/>
              </w:rPr>
              <w:t>9189.97</w:t>
            </w: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auto"/>
                <w:sz w:val="24"/>
              </w:rPr>
            </w:pP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lang w:val="en-US" w:eastAsia="zh-CN"/>
              </w:rPr>
              <w:t>4411.65</w:t>
            </w:r>
          </w:p>
        </w:tc>
        <w:tc>
          <w:tcPr>
            <w:tcW w:w="1705"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4778.32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9800" w:type="dxa"/>
            <w:gridSpan w:val="1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vMerge w:val="restart"/>
            <w:tcMar>
              <w:top w:w="0" w:type="dxa"/>
              <w:left w:w="15" w:type="dxa"/>
              <w:bottom w:w="0" w:type="dxa"/>
              <w:right w:w="15" w:type="dxa"/>
            </w:tcMar>
            <w:vAlign w:val="center"/>
          </w:tcPr>
          <w:p>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left w:val="single" w:color="auto" w:sz="4" w:space="0"/>
              <w:bottom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left w:val="single" w:color="auto" w:sz="4" w:space="0"/>
              <w:bottom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vMerge w:val="continue"/>
            <w:vAlign w:val="center"/>
          </w:tcPr>
          <w:p>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pPr>
              <w:widowControl/>
              <w:jc w:val="center"/>
              <w:rPr>
                <w:rFonts w:ascii="仿宋_GB2312" w:hAnsi="仿宋_GB2312" w:eastAsia="仿宋_GB2312" w:cs="仿宋_GB2312"/>
                <w:color w:val="000000"/>
                <w:sz w:val="24"/>
              </w:rPr>
            </w:pPr>
          </w:p>
        </w:tc>
        <w:tc>
          <w:tcPr>
            <w:tcW w:w="1078" w:type="dxa"/>
            <w:gridSpan w:val="2"/>
            <w:vMerge w:val="restart"/>
            <w:tcBorders>
              <w:top w:val="single" w:color="auto" w:sz="4" w:space="0"/>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517" w:type="dxa"/>
            <w:gridSpan w:val="6"/>
            <w:tcBorders>
              <w:top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vMerge w:val="continue"/>
            <w:vAlign w:val="center"/>
          </w:tcPr>
          <w:p>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pPr>
              <w:widowControl/>
              <w:jc w:val="center"/>
              <w:rPr>
                <w:rFonts w:ascii="仿宋_GB2312" w:hAnsi="仿宋_GB2312" w:eastAsia="仿宋_GB2312" w:cs="仿宋_GB2312"/>
                <w:color w:val="000000"/>
                <w:sz w:val="24"/>
              </w:rPr>
            </w:pPr>
          </w:p>
        </w:tc>
        <w:tc>
          <w:tcPr>
            <w:tcW w:w="1078" w:type="dxa"/>
            <w:gridSpan w:val="2"/>
            <w:vMerge w:val="continue"/>
            <w:tcBorders>
              <w:top w:val="single" w:color="auto" w:sz="4" w:space="0"/>
              <w:left w:val="single" w:color="auto" w:sz="4" w:space="0"/>
            </w:tcBorders>
            <w:vAlign w:val="center"/>
          </w:tcPr>
          <w:p>
            <w:pPr>
              <w:widowControl/>
              <w:jc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right w:val="single" w:color="auto" w:sz="4" w:space="0"/>
            </w:tcBorders>
            <w:vAlign w:val="center"/>
          </w:tcPr>
          <w:p>
            <w:pPr>
              <w:widowControl/>
              <w:jc w:val="center"/>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right w:val="single" w:color="auto" w:sz="4" w:space="0"/>
            </w:tcBorders>
            <w:vAlign w:val="center"/>
          </w:tcPr>
          <w:p>
            <w:pPr>
              <w:widowControl/>
              <w:jc w:val="center"/>
              <w:rPr>
                <w:rFonts w:ascii="仿宋_GB2312" w:hAnsi="仿宋_GB2312" w:eastAsia="仿宋_GB2312" w:cs="仿宋_GB2312"/>
                <w:color w:val="000000"/>
                <w:sz w:val="24"/>
              </w:rPr>
            </w:pPr>
          </w:p>
        </w:tc>
        <w:tc>
          <w:tcPr>
            <w:tcW w:w="625" w:type="dxa"/>
            <w:vMerge w:val="continue"/>
            <w:tcBorders>
              <w:top w:val="single" w:color="auto" w:sz="4" w:space="0"/>
              <w:left w:val="single" w:color="auto"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77"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9189.98</w:t>
            </w: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2207.39</w:t>
            </w: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1851.48</w:t>
            </w: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355.91</w:t>
            </w:r>
          </w:p>
        </w:tc>
        <w:tc>
          <w:tcPr>
            <w:tcW w:w="1080" w:type="dxa"/>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6982.58</w:t>
            </w:r>
          </w:p>
        </w:tc>
        <w:tc>
          <w:tcPr>
            <w:tcW w:w="720" w:type="dxa"/>
            <w:gridSpan w:val="3"/>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FF0000"/>
                <w:sz w:val="24"/>
              </w:rPr>
            </w:pPr>
          </w:p>
        </w:tc>
        <w:tc>
          <w:tcPr>
            <w:tcW w:w="625" w:type="dxa"/>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FF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ascii="仿宋_GB2312" w:hAnsi="仿宋_GB2312" w:eastAsia="仿宋_GB2312" w:cs="仿宋_GB2312"/>
                <w:sz w:val="24"/>
              </w:rPr>
              <w:t>1</w:t>
            </w:r>
            <w:r>
              <w:rPr>
                <w:rFonts w:hint="eastAsia" w:ascii="仿宋_GB2312" w:hAnsi="仿宋_GB2312" w:eastAsia="仿宋_GB2312" w:cs="仿宋_GB2312"/>
                <w:sz w:val="24"/>
              </w:rPr>
              <w:t>、</w:t>
            </w:r>
            <w:r>
              <w:rPr>
                <w:rFonts w:hint="eastAsia" w:ascii="仿宋_GB2312" w:hAnsi="仿宋_GB2312" w:eastAsia="仿宋_GB2312" w:cs="仿宋_GB2312"/>
                <w:sz w:val="24"/>
                <w:lang w:eastAsia="zh-CN"/>
              </w:rPr>
              <w:t>镇</w:t>
            </w:r>
            <w:r>
              <w:rPr>
                <w:rFonts w:hint="eastAsia" w:ascii="仿宋_GB2312" w:hAnsi="仿宋_GB2312" w:eastAsia="仿宋_GB2312" w:cs="仿宋_GB2312"/>
                <w:sz w:val="24"/>
              </w:rPr>
              <w:t>机关</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9189.97</w:t>
            </w: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auto"/>
                <w:sz w:val="24"/>
              </w:rPr>
            </w:pPr>
            <w:bookmarkStart w:id="0" w:name="_GoBack"/>
            <w:bookmarkEnd w:id="0"/>
            <w:r>
              <w:rPr>
                <w:rFonts w:hint="eastAsia" w:ascii="仿宋_GB2312" w:hAnsi="仿宋_GB2312" w:eastAsia="仿宋_GB2312" w:cs="仿宋_GB2312"/>
                <w:color w:val="auto"/>
                <w:sz w:val="24"/>
                <w:lang w:val="en-US" w:eastAsia="zh-CN"/>
              </w:rPr>
              <w:t>2207.39</w:t>
            </w: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1851.48</w:t>
            </w: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355.91</w:t>
            </w:r>
          </w:p>
        </w:tc>
        <w:tc>
          <w:tcPr>
            <w:tcW w:w="1080" w:type="dxa"/>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6982.58</w:t>
            </w:r>
          </w:p>
        </w:tc>
        <w:tc>
          <w:tcPr>
            <w:tcW w:w="720" w:type="dxa"/>
            <w:gridSpan w:val="3"/>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FF0000"/>
                <w:sz w:val="24"/>
              </w:rPr>
            </w:pPr>
          </w:p>
        </w:tc>
        <w:tc>
          <w:tcPr>
            <w:tcW w:w="625" w:type="dxa"/>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FF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vMerge w:val="restart"/>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vMerge w:val="continue"/>
            <w:vAlign w:val="center"/>
          </w:tcPr>
          <w:p>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pPr>
              <w:widowControl/>
              <w:jc w:val="left"/>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5"/>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8"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lang w:eastAsia="zh-CN"/>
              </w:rPr>
              <w:t>镇</w:t>
            </w:r>
            <w:r>
              <w:rPr>
                <w:rFonts w:hint="eastAsia" w:ascii="仿宋_GB2312" w:hAnsi="仿宋_GB2312" w:eastAsia="仿宋_GB2312" w:cs="仿宋_GB2312"/>
                <w:color w:val="auto"/>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19.76</w:t>
            </w: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13.8</w:t>
            </w: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5.96</w:t>
            </w: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auto"/>
                <w:sz w:val="24"/>
              </w:rPr>
            </w:pPr>
          </w:p>
        </w:tc>
        <w:tc>
          <w:tcPr>
            <w:tcW w:w="2425" w:type="dxa"/>
            <w:gridSpan w:val="5"/>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color w:val="auto"/>
                <w:sz w:val="24"/>
              </w:rPr>
            </w:pPr>
            <w:r>
              <w:rPr>
                <w:rFonts w:ascii="仿宋_GB2312" w:hAnsi="仿宋_GB2312" w:eastAsia="仿宋_GB2312" w:cs="仿宋_GB2312"/>
                <w:color w:val="auto"/>
                <w:sz w:val="24"/>
              </w:rPr>
              <w:t>1</w:t>
            </w:r>
            <w:r>
              <w:rPr>
                <w:rFonts w:hint="eastAsia" w:ascii="仿宋_GB2312" w:hAnsi="仿宋_GB2312" w:eastAsia="仿宋_GB2312" w:cs="仿宋_GB2312"/>
                <w:color w:val="auto"/>
                <w:sz w:val="24"/>
              </w:rPr>
              <w:t>、</w:t>
            </w:r>
            <w:r>
              <w:rPr>
                <w:rFonts w:hint="eastAsia" w:ascii="仿宋_GB2312" w:hAnsi="仿宋_GB2312" w:eastAsia="仿宋_GB2312" w:cs="仿宋_GB2312"/>
                <w:color w:val="auto"/>
                <w:sz w:val="24"/>
                <w:lang w:eastAsia="zh-CN"/>
              </w:rPr>
              <w:t>镇</w:t>
            </w:r>
            <w:r>
              <w:rPr>
                <w:rFonts w:hint="eastAsia" w:ascii="仿宋_GB2312" w:hAnsi="仿宋_GB2312" w:eastAsia="仿宋_GB2312" w:cs="仿宋_GB2312"/>
                <w:color w:val="auto"/>
                <w:sz w:val="24"/>
              </w:rPr>
              <w:t>机关</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19.76</w:t>
            </w: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13.8</w:t>
            </w: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5.96</w:t>
            </w: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auto"/>
                <w:sz w:val="24"/>
              </w:rPr>
            </w:pPr>
          </w:p>
        </w:tc>
        <w:tc>
          <w:tcPr>
            <w:tcW w:w="2425" w:type="dxa"/>
            <w:gridSpan w:val="5"/>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vMerge w:val="restart"/>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left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vMerge w:val="continue"/>
            <w:vAlign w:val="center"/>
          </w:tcPr>
          <w:p>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pPr>
              <w:widowControl/>
              <w:jc w:val="left"/>
              <w:rPr>
                <w:rFonts w:ascii="仿宋_GB2312" w:hAnsi="仿宋_GB2312" w:eastAsia="仿宋_GB2312" w:cs="仿宋_GB2312"/>
                <w:color w:val="000000"/>
                <w:sz w:val="24"/>
              </w:rPr>
            </w:pPr>
          </w:p>
        </w:tc>
        <w:tc>
          <w:tcPr>
            <w:tcW w:w="2435" w:type="dxa"/>
            <w:gridSpan w:val="4"/>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left w:val="single" w:color="auto"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5"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896.77</w:t>
            </w:r>
          </w:p>
        </w:tc>
        <w:tc>
          <w:tcPr>
            <w:tcW w:w="2435" w:type="dxa"/>
            <w:gridSpan w:val="4"/>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896.77</w:t>
            </w:r>
          </w:p>
        </w:tc>
        <w:tc>
          <w:tcPr>
            <w:tcW w:w="3644" w:type="dxa"/>
            <w:gridSpan w:val="7"/>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w:t>
            </w:r>
            <w:r>
              <w:rPr>
                <w:rFonts w:hint="eastAsia" w:ascii="仿宋_GB2312" w:hAnsi="仿宋_GB2312" w:eastAsia="仿宋_GB2312" w:cs="仿宋_GB2312"/>
                <w:sz w:val="24"/>
                <w:lang w:eastAsia="zh-CN"/>
              </w:rPr>
              <w:t>镇</w:t>
            </w:r>
            <w:r>
              <w:rPr>
                <w:rFonts w:hint="eastAsia" w:ascii="仿宋_GB2312" w:hAnsi="仿宋_GB2312" w:eastAsia="仿宋_GB2312" w:cs="仿宋_GB2312"/>
                <w:sz w:val="24"/>
              </w:rPr>
              <w:t>机关</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896.77</w:t>
            </w:r>
          </w:p>
        </w:tc>
        <w:tc>
          <w:tcPr>
            <w:tcW w:w="2435" w:type="dxa"/>
            <w:gridSpan w:val="4"/>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896.77</w:t>
            </w:r>
          </w:p>
        </w:tc>
        <w:tc>
          <w:tcPr>
            <w:tcW w:w="3644" w:type="dxa"/>
            <w:gridSpan w:val="7"/>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lef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91" w:hRule="atLeast"/>
          <w:jc w:val="center"/>
        </w:trPr>
        <w:tc>
          <w:tcPr>
            <w:tcW w:w="1441"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5"/>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585" w:type="dxa"/>
            <w:gridSpan w:val="9"/>
            <w:tcBorders>
              <w:bottom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72"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3774" w:type="dxa"/>
            <w:gridSpan w:val="5"/>
            <w:tcBorders>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精准扶贫扎实开展</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积极应对疫情防控</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w:t>
            </w:r>
            <w:r>
              <w:rPr>
                <w:rFonts w:ascii="仿宋_GB2312" w:hAnsi="仿宋_GB2312" w:eastAsia="仿宋_GB2312" w:cs="仿宋_GB2312"/>
                <w:color w:val="000000"/>
                <w:sz w:val="24"/>
              </w:rPr>
              <w:t>3</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加强城乡基层设施建设</w:t>
            </w:r>
          </w:p>
        </w:tc>
        <w:tc>
          <w:tcPr>
            <w:tcW w:w="4585" w:type="dxa"/>
            <w:gridSpan w:val="9"/>
            <w:tcBorders>
              <w:top w:val="single" w:color="auto" w:sz="4" w:space="0"/>
              <w:left w:val="single" w:color="auto" w:sz="4" w:space="0"/>
              <w:bottom w:val="single" w:color="auto" w:sz="4" w:space="0"/>
              <w:right w:val="single" w:color="auto" w:sz="4" w:space="0"/>
            </w:tcBorders>
            <w:tcMar>
              <w:top w:w="0" w:type="dxa"/>
              <w:left w:w="15" w:type="dxa"/>
              <w:bottom w:w="0" w:type="dxa"/>
              <w:right w:w="15" w:type="dxa"/>
            </w:tcMar>
            <w:vAlign w:val="center"/>
          </w:tcPr>
          <w:p>
            <w:pPr>
              <w:autoSpaceDN w:val="0"/>
              <w:spacing w:line="320" w:lineRule="exact"/>
              <w:jc w:val="both"/>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lang w:eastAsia="zh-CN"/>
              </w:rPr>
              <w:t>我们把圆满收官作为硬任务，“零问题”完成脱贫攻坚普查。</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lang w:eastAsia="zh-CN"/>
              </w:rPr>
              <w:t>面对新冠疫情，我们第一时间启动最严格、最紧急、最深入、最广泛的排查、隔离、检测和防控。</w:t>
            </w:r>
            <w:r>
              <w:rPr>
                <w:rFonts w:hint="eastAsia" w:ascii="仿宋_GB2312" w:hAnsi="仿宋_GB2312" w:eastAsia="仿宋_GB2312" w:cs="仿宋_GB2312"/>
                <w:color w:val="000000"/>
                <w:sz w:val="24"/>
                <w:lang w:val="en-US" w:eastAsia="zh-CN"/>
              </w:rPr>
              <w:t>3.优化环境整治、加强生态保护、严格土地管理。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441"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w:t>
            </w:r>
            <w:r>
              <w:rPr>
                <w:rFonts w:hint="eastAsia" w:ascii="仿宋_GB2312" w:hAnsi="仿宋_GB2312" w:eastAsia="仿宋_GB2312" w:cs="仿宋_GB2312"/>
                <w:color w:val="000000"/>
                <w:sz w:val="24"/>
                <w:lang w:eastAsia="zh-CN"/>
              </w:rPr>
              <w:t>县</w:t>
            </w:r>
            <w:r>
              <w:rPr>
                <w:rFonts w:hint="eastAsia" w:ascii="仿宋_GB2312" w:hAnsi="仿宋_GB2312" w:eastAsia="仿宋_GB2312" w:cs="仿宋_GB2312"/>
                <w:color w:val="000000"/>
                <w:sz w:val="24"/>
              </w:rPr>
              <w:t>委</w:t>
            </w:r>
            <w:r>
              <w:rPr>
                <w:rFonts w:hint="eastAsia" w:ascii="仿宋_GB2312" w:hAnsi="仿宋_GB2312" w:eastAsia="仿宋_GB2312" w:cs="仿宋_GB2312"/>
                <w:color w:val="000000"/>
                <w:sz w:val="24"/>
                <w:lang w:eastAsia="zh-CN"/>
              </w:rPr>
              <w:t>县</w:t>
            </w:r>
            <w:r>
              <w:rPr>
                <w:rFonts w:hint="eastAsia" w:ascii="仿宋_GB2312" w:hAnsi="仿宋_GB2312" w:eastAsia="仿宋_GB2312" w:cs="仿宋_GB2312"/>
                <w:color w:val="000000"/>
                <w:sz w:val="24"/>
              </w:rPr>
              <w:t>政府布置的重点工作、实事任务等，根据部门实际进行调整细化）</w:t>
            </w:r>
          </w:p>
        </w:tc>
        <w:tc>
          <w:tcPr>
            <w:tcW w:w="1417"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无重大安全生产事故</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争当县综合先进乡镇</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全镇</w:t>
            </w:r>
            <w:r>
              <w:rPr>
                <w:rFonts w:hint="eastAsia" w:ascii="仿宋_GB2312" w:hAnsi="仿宋_GB2312" w:eastAsia="仿宋_GB2312" w:cs="仿宋_GB2312"/>
                <w:color w:val="000000"/>
                <w:sz w:val="24"/>
                <w:lang w:val="en-US" w:eastAsia="zh-CN"/>
              </w:rPr>
              <w:t>14个村（居）进行乡村振兴资金和村级资金清查整改</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县、乡公路维护改造</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61"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按质按量</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按质按量</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产业帮扶投入</w:t>
            </w:r>
            <w:r>
              <w:rPr>
                <w:rFonts w:hint="eastAsia" w:ascii="仿宋_GB2312" w:hAnsi="仿宋_GB2312" w:eastAsia="仿宋_GB2312" w:cs="仿宋_GB2312"/>
                <w:color w:val="000000"/>
                <w:sz w:val="24"/>
                <w:lang w:val="en-US" w:eastAsia="zh-CN"/>
              </w:rPr>
              <w:t>52万提高产业奖补</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投入</w:t>
            </w:r>
            <w:r>
              <w:rPr>
                <w:rFonts w:hint="eastAsia" w:ascii="仿宋_GB2312" w:hAnsi="仿宋_GB2312" w:eastAsia="仿宋_GB2312" w:cs="仿宋_GB2312"/>
                <w:color w:val="000000"/>
                <w:sz w:val="24"/>
                <w:lang w:val="en-US" w:eastAsia="zh-CN"/>
              </w:rPr>
              <w:t>980万元基层设施建设</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vMerge w:val="continue"/>
            <w:vAlign w:val="center"/>
          </w:tcPr>
          <w:p>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restart"/>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做好生活保障、提升幸福感</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推进环境整治、改善全镇人民的生活质量</w:t>
            </w:r>
          </w:p>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指标</w:t>
            </w:r>
            <w:r>
              <w:rPr>
                <w:rFonts w:hint="eastAsia" w:ascii="仿宋_GB2312" w:hAnsi="仿宋_GB2312" w:eastAsia="仿宋_GB2312" w:cs="仿宋_GB2312"/>
                <w:color w:val="000000"/>
                <w:sz w:val="24"/>
                <w:lang w:val="en-US" w:eastAsia="zh-CN"/>
              </w:rPr>
              <w:t>3：修建城乡道路、提高交通便利</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给社会群众带来直接或间接的生活便利，提高全镇人民生活质量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改善全镇人民的生活质量</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带动全镇经济发展</w:t>
            </w:r>
          </w:p>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指标</w:t>
            </w:r>
            <w:r>
              <w:rPr>
                <w:rFonts w:hint="eastAsia" w:ascii="仿宋_GB2312" w:hAnsi="仿宋_GB2312" w:eastAsia="仿宋_GB2312" w:cs="仿宋_GB2312"/>
                <w:color w:val="000000"/>
                <w:sz w:val="24"/>
                <w:lang w:val="en-US" w:eastAsia="zh-CN"/>
              </w:rPr>
              <w:t>3：提高人均收入水平</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eastAsia="zh-CN"/>
              </w:rPr>
              <w:t>提升全镇</w:t>
            </w:r>
            <w:r>
              <w:rPr>
                <w:rFonts w:hint="eastAsia" w:ascii="仿宋_GB2312" w:hAnsi="仿宋_GB2312" w:eastAsia="仿宋_GB2312" w:cs="仿宋_GB2312"/>
                <w:b/>
                <w:color w:val="000000"/>
                <w:sz w:val="24"/>
                <w:lang w:val="en-US" w:eastAsia="zh-CN"/>
              </w:rPr>
              <w:t>4.5万人生活水平，带动全镇经济发展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推进镇对环保整治</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做好人居环境可持续发展</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长期目标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1441" w:type="dxa"/>
            <w:gridSpan w:val="2"/>
            <w:vMerge w:val="continue"/>
            <w:vAlign w:val="center"/>
          </w:tcPr>
          <w:p>
            <w:pPr>
              <w:widowControl/>
              <w:jc w:val="left"/>
              <w:rPr>
                <w:rFonts w:ascii="仿宋_GB2312" w:hAnsi="仿宋_GB2312" w:eastAsia="仿宋_GB2312" w:cs="仿宋_GB2312"/>
                <w:color w:val="000000"/>
                <w:sz w:val="24"/>
              </w:rPr>
            </w:pPr>
          </w:p>
        </w:tc>
        <w:tc>
          <w:tcPr>
            <w:tcW w:w="1549" w:type="dxa"/>
            <w:gridSpan w:val="2"/>
            <w:vMerge w:val="continue"/>
            <w:vAlign w:val="center"/>
          </w:tcPr>
          <w:p>
            <w:pPr>
              <w:widowControl/>
              <w:jc w:val="left"/>
              <w:rPr>
                <w:rFonts w:ascii="仿宋_GB2312" w:hAnsi="仿宋_GB2312" w:eastAsia="仿宋_GB2312" w:cs="仿宋_GB2312"/>
                <w:color w:val="000000"/>
                <w:sz w:val="24"/>
              </w:rPr>
            </w:pPr>
          </w:p>
        </w:tc>
        <w:tc>
          <w:tcPr>
            <w:tcW w:w="1417" w:type="dxa"/>
            <w:gridSpan w:val="2"/>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2709" w:type="dxa"/>
            <w:gridSpan w:val="4"/>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全镇百姓对镇政府及工作成效满意度</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99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96分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990" w:type="dxa"/>
            <w:gridSpan w:val="4"/>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9800" w:type="dxa"/>
            <w:gridSpan w:val="1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名</w:t>
            </w:r>
          </w:p>
        </w:tc>
        <w:tc>
          <w:tcPr>
            <w:tcW w:w="4137" w:type="dxa"/>
            <w:gridSpan w:val="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职称</w:t>
            </w:r>
          </w:p>
        </w:tc>
        <w:tc>
          <w:tcPr>
            <w:tcW w:w="1479"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位</w:t>
            </w:r>
          </w:p>
        </w:tc>
        <w:tc>
          <w:tcPr>
            <w:tcW w:w="3106" w:type="dxa"/>
            <w:gridSpan w:val="8"/>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李阳斌</w:t>
            </w:r>
          </w:p>
        </w:tc>
        <w:tc>
          <w:tcPr>
            <w:tcW w:w="4137"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纪委书记</w:t>
            </w:r>
          </w:p>
        </w:tc>
        <w:tc>
          <w:tcPr>
            <w:tcW w:w="1479" w:type="dxa"/>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公田镇人民政府</w:t>
            </w:r>
          </w:p>
        </w:tc>
        <w:tc>
          <w:tcPr>
            <w:tcW w:w="3106" w:type="dxa"/>
            <w:gridSpan w:val="8"/>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曹薇</w:t>
            </w:r>
          </w:p>
        </w:tc>
        <w:tc>
          <w:tcPr>
            <w:tcW w:w="4137"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党政办主任</w:t>
            </w:r>
          </w:p>
        </w:tc>
        <w:tc>
          <w:tcPr>
            <w:tcW w:w="1479"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公田镇人民政府</w:t>
            </w:r>
          </w:p>
        </w:tc>
        <w:tc>
          <w:tcPr>
            <w:tcW w:w="3106" w:type="dxa"/>
            <w:gridSpan w:val="8"/>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彭祥</w:t>
            </w:r>
          </w:p>
        </w:tc>
        <w:tc>
          <w:tcPr>
            <w:tcW w:w="4137" w:type="dxa"/>
            <w:gridSpan w:val="6"/>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财政所长</w:t>
            </w:r>
          </w:p>
        </w:tc>
        <w:tc>
          <w:tcPr>
            <w:tcW w:w="1479"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公田镇人民政府</w:t>
            </w:r>
          </w:p>
        </w:tc>
        <w:tc>
          <w:tcPr>
            <w:tcW w:w="3106" w:type="dxa"/>
            <w:gridSpan w:val="8"/>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4137" w:type="dxa"/>
            <w:gridSpan w:val="6"/>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479" w:type="dxa"/>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106" w:type="dxa"/>
            <w:gridSpan w:val="8"/>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22" w:hRule="atLeast"/>
          <w:jc w:val="center"/>
        </w:trPr>
        <w:tc>
          <w:tcPr>
            <w:tcW w:w="9800" w:type="dxa"/>
            <w:gridSpan w:val="16"/>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月</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22" w:hRule="atLeast"/>
          <w:jc w:val="center"/>
        </w:trPr>
        <w:tc>
          <w:tcPr>
            <w:tcW w:w="9800" w:type="dxa"/>
            <w:gridSpan w:val="16"/>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部门（单位）负责人（签章）：</w:t>
            </w:r>
          </w:p>
          <w:p>
            <w:pPr>
              <w:autoSpaceDN w:val="0"/>
              <w:spacing w:line="320" w:lineRule="exact"/>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月</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日</w:t>
            </w:r>
          </w:p>
        </w:tc>
      </w:tr>
    </w:tbl>
    <w:p>
      <w:pPr>
        <w:rPr>
          <w:rFonts w:hint="default" w:eastAsia="仿宋_GB2312" w:cs="仿宋_GB2312"/>
          <w:bCs/>
          <w:sz w:val="28"/>
          <w:szCs w:val="28"/>
          <w:lang w:val="en-US" w:eastAsia="zh-CN"/>
        </w:rPr>
      </w:pPr>
      <w:r>
        <w:rPr>
          <w:rFonts w:hint="eastAsia" w:eastAsia="仿宋_GB2312" w:cs="仿宋_GB2312"/>
          <w:bCs/>
          <w:sz w:val="28"/>
          <w:szCs w:val="28"/>
        </w:rPr>
        <w:t>填报人</w:t>
      </w:r>
      <w:r>
        <w:rPr>
          <w:rFonts w:hint="eastAsia" w:eastAsia="仿宋_GB2312" w:cs="仿宋_GB2312"/>
          <w:bCs/>
          <w:sz w:val="28"/>
          <w:szCs w:val="28"/>
          <w:lang w:eastAsia="zh-CN"/>
        </w:rPr>
        <w:t>：万欣</w:t>
      </w:r>
      <w:r>
        <w:rPr>
          <w:rFonts w:hint="eastAsia" w:eastAsia="仿宋_GB2312" w:cs="仿宋_GB2312"/>
          <w:bCs/>
          <w:sz w:val="28"/>
          <w:szCs w:val="28"/>
          <w:lang w:val="en-US" w:eastAsia="zh-CN"/>
        </w:rPr>
        <w:t xml:space="preserve">   </w:t>
      </w:r>
      <w:r>
        <w:rPr>
          <w:rFonts w:hint="eastAsia" w:eastAsia="仿宋_GB2312" w:cs="仿宋_GB2312"/>
          <w:bCs/>
          <w:sz w:val="28"/>
          <w:szCs w:val="28"/>
        </w:rPr>
        <w:t>联系电话：</w:t>
      </w:r>
      <w:r>
        <w:rPr>
          <w:rFonts w:hint="eastAsia" w:eastAsia="仿宋_GB2312" w:cs="仿宋_GB2312"/>
          <w:bCs/>
          <w:sz w:val="28"/>
          <w:szCs w:val="28"/>
          <w:lang w:val="en-US" w:eastAsia="zh-CN"/>
        </w:rPr>
        <w:t>13787850066</w:t>
      </w:r>
    </w:p>
    <w:tbl>
      <w:tblPr>
        <w:tblStyle w:val="9"/>
        <w:tblW w:w="95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98" w:hRule="atLeast"/>
          <w:jc w:val="center"/>
        </w:trPr>
        <w:tc>
          <w:tcPr>
            <w:tcW w:w="9558" w:type="dxa"/>
          </w:tcPr>
          <w:p>
            <w:pPr>
              <w:spacing w:line="580" w:lineRule="exact"/>
              <w:ind w:firstLine="723" w:firstLineChars="200"/>
              <w:jc w:val="center"/>
              <w:rPr>
                <w:rFonts w:hint="eastAsia" w:ascii="仿宋_GB2312" w:eastAsia="仿宋_GB2312"/>
                <w:b/>
                <w:bCs/>
                <w:sz w:val="36"/>
                <w:szCs w:val="36"/>
              </w:rPr>
            </w:pPr>
            <w:r>
              <w:rPr>
                <w:rFonts w:hint="eastAsia" w:ascii="仿宋_GB2312" w:eastAsia="仿宋_GB2312"/>
                <w:b/>
                <w:bCs/>
                <w:sz w:val="36"/>
                <w:szCs w:val="36"/>
              </w:rPr>
              <w:t>五、评价报告综述（文字部分）</w:t>
            </w:r>
          </w:p>
          <w:p>
            <w:pPr>
              <w:spacing w:line="440" w:lineRule="exact"/>
              <w:ind w:firstLine="640" w:firstLineChars="200"/>
              <w:jc w:val="center"/>
              <w:rPr>
                <w:rFonts w:eastAsia="仿宋_GB2312"/>
                <w:sz w:val="32"/>
                <w:szCs w:val="32"/>
              </w:rPr>
            </w:pP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w:t>
            </w:r>
            <w:r>
              <w:rPr>
                <w:rFonts w:hint="eastAsia" w:ascii="黑体" w:hAnsi="黑体" w:eastAsia="黑体" w:cs="黑体"/>
                <w:bCs/>
                <w:sz w:val="32"/>
                <w:szCs w:val="32"/>
                <w:lang w:eastAsia="zh-CN"/>
              </w:rPr>
              <w:t>公田镇人民政府</w:t>
            </w:r>
            <w:r>
              <w:rPr>
                <w:rFonts w:hint="eastAsia" w:ascii="黑体" w:hAnsi="黑体" w:eastAsia="黑体" w:cs="黑体"/>
                <w:bCs/>
                <w:sz w:val="32"/>
                <w:szCs w:val="32"/>
              </w:rPr>
              <w:t>概况</w:t>
            </w:r>
          </w:p>
          <w:p>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（一）部门（单位）基本情况</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t>我单位包含政府机关及3个二级机构。全部为财政全额拨款单位，执行行政单位会计制度，在职干部102人、退休48人。</w:t>
            </w:r>
          </w:p>
          <w:p>
            <w:pPr>
              <w:spacing w:line="580" w:lineRule="exact"/>
              <w:ind w:firstLine="560" w:firstLineChars="200"/>
              <w:rPr>
                <w:rFonts w:hint="eastAsia" w:ascii="仿宋_GB2312" w:hAnsi="仿宋_GB2312" w:eastAsia="仿宋_GB2312" w:cs="仿宋_GB2312"/>
                <w:bCs/>
                <w:sz w:val="28"/>
                <w:szCs w:val="28"/>
                <w:lang w:eastAsia="zh-CN"/>
              </w:rPr>
            </w:pPr>
          </w:p>
          <w:p>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（二）部门（单位）整体支出规模、使用方向和主要内容、涉及范围等（</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田镇人民政府2020年度收入支出决算总体情况说明： 2020年镇财政决算收支总计2399.32万元比比上年决算减少245.31万元。减少原因是将上级专项追加指标计入决算收支。</w:t>
            </w:r>
          </w:p>
          <w:p>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2</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田镇人民政府2020年度收入决算情况说明 ：2020年公共财政决算收入共2399.32万元。其中上级财政补助收入2030.03 万元占收入84.61%，地方公共财政收入369.29 万元占收入的15.39%。</w:t>
            </w:r>
          </w:p>
          <w:p>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3</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田镇人民政府2020年度支出决算情况说明： 2020年公共财政决算支出2399.32万元，其中一般公共服务支出976万元，国防支出4万元占，公共安全支出27万元，教育支出7万元，文化体育与传媒支出12万元，社会保障和就业支出196万元，医疗卫生与计划生育支出125万元，节能环保支出43万元，城乡社区支出167万元，农林水支出727万元，交通运输支出23万元，资源勘探信息(安全生产)等支出20万元，住房保障支出72.32万元。</w:t>
            </w:r>
          </w:p>
          <w:p>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4</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田镇人民政府2020年度一般公共预算财政拨款“三公”经费支出决算情况说明：</w:t>
            </w:r>
          </w:p>
          <w:p>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1、“三公”经费财政拨款支出决算总体情况说明。 2020年三公经费支出总额为10万元其中：因公出国（境）费用0万元、公务接待费用3万元、公务用车费7万元（其中公务用车运行维护费7万元、公务用车购置0万元。）三公经费比上年减少9万元，减少原因是严格控制接待标准。</w:t>
            </w:r>
          </w:p>
          <w:p>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2、“三公”经费财政拨款支出决算具体情况说明。 2020年</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田镇公务接待费3万元，主要是公务接待用餐支出，公务用车7万元主要用于公务用车的维护费用，镇机关集镇垃圾车、机关洒水车的维护及维修。</w:t>
            </w:r>
          </w:p>
          <w:p>
            <w:pPr>
              <w:spacing w:line="560" w:lineRule="exact"/>
              <w:ind w:firstLine="560" w:firstLineChars="200"/>
              <w:rPr>
                <w:rFonts w:ascii="仿宋_GB2312" w:hAnsi="仿宋_GB2312" w:eastAsia="仿宋_GB2312" w:cs="仿宋_GB2312"/>
                <w:bCs/>
                <w:sz w:val="28"/>
                <w:szCs w:val="28"/>
              </w:rPr>
            </w:pP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lang w:eastAsia="zh-CN"/>
              </w:rPr>
              <w:t>二</w:t>
            </w:r>
            <w:r>
              <w:rPr>
                <w:rFonts w:hint="eastAsia" w:ascii="黑体" w:hAnsi="黑体" w:eastAsia="黑体" w:cs="黑体"/>
                <w:bCs/>
                <w:sz w:val="32"/>
                <w:szCs w:val="32"/>
              </w:rPr>
              <w:t>、部门（单位）专项组织实施情况</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一）专项组织情况分析</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1、我单位申报的资金项目均从2020年初计划实施，并于2020年底前完成年度绩效目标。我镇年度专项支出共384万元，主要用于农村基础设施、道路、水利、环境等方面支出。我镇制定了机关财务管理制定，明确了专项支出审批程序，严格加强对专项资金的监管。</w:t>
            </w:r>
          </w:p>
          <w:p>
            <w:pPr>
              <w:spacing w:line="560" w:lineRule="exact"/>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2、严格对专项资金报账的审核制度。专项资金必须与申报项目相符，村级代理记账必须附四议两公开、会议记录、事前事中事后相关照片记录，超过规定金额必须走政府采购或招投标手续方可进行报账。</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（二）专项管理情况分析</w:t>
            </w:r>
          </w:p>
          <w:p>
            <w:pPr>
              <w:spacing w:line="560" w:lineRule="exact"/>
              <w:ind w:firstLine="640" w:firstLineChars="200"/>
              <w:rPr>
                <w:rFonts w:hint="eastAsia" w:ascii="黑体" w:hAnsi="黑体" w:eastAsia="黑体" w:cs="黑体"/>
                <w:bCs/>
                <w:sz w:val="32"/>
                <w:szCs w:val="32"/>
                <w:lang w:eastAsia="zh-CN"/>
              </w:rPr>
            </w:pPr>
          </w:p>
          <w:p>
            <w:pPr>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lang w:eastAsia="zh-CN"/>
              </w:rPr>
              <w:t>三</w:t>
            </w:r>
            <w:r>
              <w:rPr>
                <w:rFonts w:hint="eastAsia" w:ascii="黑体" w:hAnsi="黑体" w:eastAsia="黑体" w:cs="黑体"/>
                <w:bCs/>
                <w:sz w:val="32"/>
                <w:szCs w:val="32"/>
              </w:rPr>
              <w:t>、部门（单位）整体支出绩效情况</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按照财政预算绩效管理工作的总体要求，2020年我单位整体支出2399.32万元全部实行整体支出绩效目标管理，整体支出绩效目标基本完成。</w:t>
            </w:r>
          </w:p>
          <w:p>
            <w:pPr>
              <w:spacing w:line="560" w:lineRule="exact"/>
              <w:ind w:firstLine="560" w:firstLineChars="200"/>
              <w:rPr>
                <w:rFonts w:hint="eastAsia" w:ascii="仿宋_GB2312" w:hAnsi="仿宋_GB2312" w:eastAsia="仿宋_GB2312" w:cs="仿宋_GB2312"/>
                <w:bCs/>
                <w:sz w:val="28"/>
                <w:szCs w:val="28"/>
                <w:lang w:val="en-US" w:eastAsia="zh-CN"/>
              </w:rPr>
            </w:pPr>
          </w:p>
          <w:p>
            <w:pPr>
              <w:numPr>
                <w:ilvl w:val="0"/>
                <w:numId w:val="0"/>
              </w:numPr>
              <w:spacing w:line="560" w:lineRule="exact"/>
              <w:ind w:left="210" w:leftChars="0" w:firstLine="320" w:firstLineChars="100"/>
              <w:rPr>
                <w:rFonts w:hint="eastAsia" w:ascii="黑体" w:hAnsi="黑体" w:eastAsia="黑体" w:cs="黑体"/>
                <w:bCs/>
                <w:sz w:val="32"/>
                <w:szCs w:val="32"/>
                <w:lang w:eastAsia="zh-CN"/>
              </w:rPr>
            </w:pPr>
          </w:p>
          <w:p>
            <w:pPr>
              <w:numPr>
                <w:ilvl w:val="0"/>
                <w:numId w:val="0"/>
              </w:numPr>
              <w:spacing w:line="560" w:lineRule="exact"/>
              <w:ind w:left="210" w:leftChars="0" w:firstLine="320" w:firstLineChars="100"/>
              <w:rPr>
                <w:rFonts w:hint="eastAsia" w:ascii="黑体" w:hAnsi="黑体" w:eastAsia="黑体" w:cs="黑体"/>
                <w:bCs/>
                <w:sz w:val="32"/>
                <w:szCs w:val="32"/>
                <w:lang w:eastAsia="zh-CN"/>
              </w:rPr>
            </w:pPr>
          </w:p>
          <w:p>
            <w:pPr>
              <w:numPr>
                <w:ilvl w:val="0"/>
                <w:numId w:val="0"/>
              </w:numPr>
              <w:spacing w:line="560" w:lineRule="exact"/>
              <w:ind w:left="210" w:leftChars="0" w:firstLine="320" w:firstLineChars="100"/>
              <w:rPr>
                <w:rFonts w:hint="eastAsia" w:ascii="黑体" w:hAnsi="黑体" w:eastAsia="黑体" w:cs="黑体"/>
                <w:bCs/>
                <w:sz w:val="32"/>
                <w:szCs w:val="32"/>
                <w:lang w:eastAsia="zh-CN"/>
              </w:rPr>
            </w:pPr>
          </w:p>
          <w:p>
            <w:pPr>
              <w:numPr>
                <w:ilvl w:val="0"/>
                <w:numId w:val="0"/>
              </w:numPr>
              <w:spacing w:line="560" w:lineRule="exact"/>
              <w:ind w:left="210" w:leftChars="0" w:firstLine="320" w:firstLineChars="100"/>
              <w:rPr>
                <w:rFonts w:hint="eastAsia" w:ascii="黑体" w:hAnsi="黑体" w:eastAsia="黑体" w:cs="黑体"/>
                <w:bCs/>
                <w:sz w:val="32"/>
                <w:szCs w:val="32"/>
              </w:rPr>
            </w:pPr>
            <w:r>
              <w:rPr>
                <w:rFonts w:hint="eastAsia" w:ascii="黑体" w:hAnsi="黑体" w:eastAsia="黑体" w:cs="黑体"/>
                <w:bCs/>
                <w:sz w:val="32"/>
                <w:szCs w:val="32"/>
                <w:lang w:eastAsia="zh-CN"/>
              </w:rPr>
              <w:t>四、</w:t>
            </w:r>
            <w:r>
              <w:rPr>
                <w:rFonts w:hint="eastAsia" w:ascii="黑体" w:hAnsi="黑体" w:eastAsia="黑体" w:cs="黑体"/>
                <w:bCs/>
                <w:sz w:val="32"/>
                <w:szCs w:val="32"/>
              </w:rPr>
              <w:t>存在的主要问题</w:t>
            </w:r>
          </w:p>
          <w:p>
            <w:pPr>
              <w:numPr>
                <w:ilvl w:val="0"/>
                <w:numId w:val="0"/>
              </w:numPr>
              <w:spacing w:line="560" w:lineRule="exact"/>
              <w:rPr>
                <w:rFonts w:hint="eastAsia" w:ascii="仿宋_GB2312" w:hAnsi="仿宋_GB2312" w:eastAsia="仿宋_GB2312" w:cs="仿宋_GB2312"/>
                <w:bCs/>
                <w:sz w:val="28"/>
                <w:szCs w:val="28"/>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Cs/>
                <w:sz w:val="28"/>
                <w:szCs w:val="28"/>
                <w:lang w:val="en-US" w:eastAsia="zh-CN"/>
              </w:rPr>
              <w:t>绩效开展持久，但实际效果一般，有的目标细化、量化难度大，成果较难评估。</w:t>
            </w:r>
          </w:p>
          <w:p>
            <w:pPr>
              <w:numPr>
                <w:ilvl w:val="0"/>
                <w:numId w:val="0"/>
              </w:numPr>
              <w:spacing w:line="560" w:lineRule="exact"/>
              <w:rPr>
                <w:rFonts w:hint="default" w:ascii="仿宋_GB2312" w:hAnsi="仿宋_GB2312" w:eastAsia="仿宋_GB2312" w:cs="仿宋_GB2312"/>
                <w:bCs/>
                <w:sz w:val="28"/>
                <w:szCs w:val="28"/>
                <w:lang w:val="en-US" w:eastAsia="zh-CN"/>
              </w:rPr>
            </w:pPr>
          </w:p>
          <w:p>
            <w:pPr>
              <w:numPr>
                <w:ilvl w:val="0"/>
                <w:numId w:val="0"/>
              </w:numPr>
              <w:spacing w:line="560" w:lineRule="exact"/>
              <w:ind w:left="210" w:leftChars="0"/>
              <w:rPr>
                <w:rFonts w:hint="eastAsia" w:ascii="黑体" w:hAnsi="黑体" w:eastAsia="黑体" w:cs="黑体"/>
                <w:bCs/>
                <w:sz w:val="32"/>
                <w:szCs w:val="32"/>
              </w:rPr>
            </w:pPr>
            <w:r>
              <w:rPr>
                <w:rFonts w:hint="eastAsia" w:ascii="黑体" w:hAnsi="黑体" w:eastAsia="黑体" w:cs="黑体"/>
                <w:bCs/>
                <w:sz w:val="32"/>
                <w:szCs w:val="32"/>
                <w:lang w:val="en-US" w:eastAsia="zh-CN"/>
              </w:rPr>
              <w:t xml:space="preserve">    五、</w:t>
            </w:r>
            <w:r>
              <w:rPr>
                <w:rFonts w:hint="eastAsia" w:ascii="黑体" w:hAnsi="黑体" w:eastAsia="黑体" w:cs="黑体"/>
                <w:bCs/>
                <w:sz w:val="32"/>
                <w:szCs w:val="32"/>
              </w:rPr>
              <w:t>改进措施和有关建议</w:t>
            </w:r>
          </w:p>
          <w:p>
            <w:pPr>
              <w:numPr>
                <w:ilvl w:val="0"/>
                <w:numId w:val="0"/>
              </w:numPr>
              <w:spacing w:line="560" w:lineRule="exact"/>
              <w:ind w:leftChars="200"/>
              <w:rPr>
                <w:rFonts w:hint="default" w:ascii="仿宋_GB2312" w:hAnsi="仿宋_GB2312" w:eastAsia="仿宋_GB2312" w:cs="仿宋_GB2312"/>
                <w:bCs/>
                <w:sz w:val="28"/>
                <w:szCs w:val="28"/>
                <w:lang w:val="en-US" w:eastAsia="zh-CN"/>
              </w:rPr>
            </w:pPr>
            <w:r>
              <w:rPr>
                <w:rFonts w:hint="eastAsia" w:ascii="黑体" w:hAnsi="黑体" w:eastAsia="黑体" w:cs="黑体"/>
                <w:bCs/>
                <w:sz w:val="28"/>
                <w:szCs w:val="28"/>
                <w:lang w:val="en-US" w:eastAsia="zh-CN"/>
              </w:rPr>
              <w:t xml:space="preserve"> 1</w:t>
            </w:r>
            <w:r>
              <w:rPr>
                <w:rFonts w:hint="eastAsia" w:ascii="仿宋_GB2312" w:hAnsi="仿宋_GB2312" w:eastAsia="仿宋_GB2312" w:cs="仿宋_GB2312"/>
                <w:bCs/>
                <w:sz w:val="28"/>
                <w:szCs w:val="28"/>
                <w:lang w:val="en-US" w:eastAsia="zh-CN"/>
              </w:rPr>
              <w:t>、进一步化解绩效目标，把绩效目标融入到政府日常工作中。2、进一步严格预算编制、执行及管理，对新增财政支出、一般性支出等严格控制。3、绩效的执行情况及政策效果项目支出的管理、使用、效益情况进行严格的跟踪。</w:t>
            </w:r>
          </w:p>
          <w:p>
            <w:pPr>
              <w:rPr>
                <w:rFonts w:eastAsia="楷体_GB2312"/>
                <w:bCs/>
                <w:sz w:val="28"/>
                <w:szCs w:val="28"/>
              </w:rPr>
            </w:pPr>
          </w:p>
        </w:tc>
      </w:tr>
    </w:tbl>
    <w:p>
      <w:pPr>
        <w:spacing w:line="348" w:lineRule="auto"/>
        <w:rPr>
          <w:rFonts w:eastAsia="楷体_GB2312"/>
          <w:bCs/>
          <w:sz w:val="28"/>
          <w:szCs w:val="28"/>
        </w:rPr>
      </w:pPr>
    </w:p>
    <w:p>
      <w:pPr>
        <w:rPr>
          <w:rFonts w:ascii="黑体" w:hAnsi="黑体" w:eastAsia="黑体"/>
          <w:sz w:val="32"/>
          <w:szCs w:val="32"/>
        </w:rPr>
      </w:pPr>
      <w:r>
        <w:rPr>
          <w:rFonts w:eastAsia="楷体_GB2312"/>
          <w:bCs/>
          <w:sz w:val="28"/>
          <w:szCs w:val="28"/>
        </w:rPr>
        <w:br w:type="page"/>
      </w:r>
      <w:r>
        <w:rPr>
          <w:rFonts w:hint="eastAsia" w:ascii="黑体" w:hAnsi="黑体" w:eastAsia="黑体"/>
          <w:sz w:val="32"/>
          <w:szCs w:val="32"/>
        </w:rPr>
        <w:t>附件</w:t>
      </w:r>
      <w:r>
        <w:rPr>
          <w:rFonts w:ascii="黑体" w:hAnsi="黑体" w:eastAsia="黑体"/>
          <w:sz w:val="32"/>
          <w:szCs w:val="32"/>
        </w:rPr>
        <w:t>3-1</w:t>
      </w:r>
    </w:p>
    <w:p>
      <w:pPr>
        <w:spacing w:beforeLines="100" w:afterLines="100"/>
        <w:jc w:val="center"/>
        <w:rPr>
          <w:rFonts w:ascii="方正小标宋简体" w:eastAsia="方正小标宋简体"/>
          <w:sz w:val="38"/>
          <w:szCs w:val="38"/>
        </w:rPr>
      </w:pPr>
      <w:r>
        <w:rPr>
          <w:rFonts w:hint="eastAsia" w:ascii="方正小标宋简体" w:eastAsia="方正小标宋简体"/>
          <w:sz w:val="38"/>
          <w:szCs w:val="38"/>
        </w:rPr>
        <w:t>部门整体支出绩效评价评分表</w:t>
      </w:r>
    </w:p>
    <w:tbl>
      <w:tblPr>
        <w:tblStyle w:val="9"/>
        <w:tblW w:w="9894" w:type="dxa"/>
        <w:jc w:val="center"/>
        <w:tblInd w:w="0" w:type="dxa"/>
        <w:tblLayout w:type="fixed"/>
        <w:tblCellMar>
          <w:top w:w="0" w:type="dxa"/>
          <w:left w:w="108" w:type="dxa"/>
          <w:bottom w:w="0" w:type="dxa"/>
          <w:right w:w="108" w:type="dxa"/>
        </w:tblCellMar>
      </w:tblPr>
      <w:tblGrid>
        <w:gridCol w:w="976"/>
        <w:gridCol w:w="939"/>
        <w:gridCol w:w="1389"/>
        <w:gridCol w:w="4171"/>
        <w:gridCol w:w="619"/>
        <w:gridCol w:w="720"/>
        <w:gridCol w:w="1080"/>
      </w:tblGrid>
      <w:tr>
        <w:tblPrEx>
          <w:tblLayout w:type="fixed"/>
          <w:tblCellMar>
            <w:top w:w="0" w:type="dxa"/>
            <w:left w:w="108" w:type="dxa"/>
            <w:bottom w:w="0" w:type="dxa"/>
            <w:right w:w="108" w:type="dxa"/>
          </w:tblCellMar>
        </w:tblPrEx>
        <w:trPr>
          <w:trHeight w:val="525"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tblPrEx>
          <w:tblLayout w:type="fixed"/>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投</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入</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预算配置</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w:t>
            </w:r>
            <w:r>
              <w:rPr>
                <w:rFonts w:ascii="仿宋_GB2312" w:hAnsi="宋体" w:eastAsia="仿宋_GB2312" w:cs="宋体"/>
                <w:kern w:val="0"/>
                <w:sz w:val="18"/>
                <w:szCs w:val="18"/>
              </w:rPr>
              <w:t>100%</w:t>
            </w:r>
            <w:r>
              <w:rPr>
                <w:rFonts w:hint="eastAsia" w:ascii="仿宋_GB2312" w:hAnsi="宋体" w:eastAsia="仿宋_GB2312" w:cs="宋体"/>
                <w:kern w:val="0"/>
                <w:sz w:val="18"/>
                <w:szCs w:val="18"/>
              </w:rPr>
              <w:t>为标准。在职人员控制率</w:t>
            </w:r>
            <w:r>
              <w:rPr>
                <w:rFonts w:hint="eastAsia" w:ascii="宋体" w:hAnsi="宋体" w:cs="宋体"/>
                <w:kern w:val="0"/>
                <w:sz w:val="18"/>
                <w:szCs w:val="18"/>
              </w:rPr>
              <w:t>≦</w:t>
            </w:r>
            <w:r>
              <w:rPr>
                <w:rFonts w:ascii="仿宋_GB2312" w:hAnsi="宋体" w:eastAsia="仿宋_GB2312" w:cs="宋体"/>
                <w:kern w:val="0"/>
                <w:sz w:val="18"/>
                <w:szCs w:val="18"/>
              </w:rPr>
              <w:t>100%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分；每超过一个百分点扣</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p>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p>
            <w:pPr>
              <w:widowControl/>
              <w:spacing w:line="240" w:lineRule="exact"/>
              <w:jc w:val="left"/>
              <w:rPr>
                <w:rFonts w:hint="eastAsia" w:ascii="仿宋_GB2312" w:hAnsi="宋体" w:eastAsia="仿宋_GB2312" w:cs="宋体"/>
                <w:color w:val="000000"/>
                <w:kern w:val="0"/>
                <w:sz w:val="18"/>
                <w:szCs w:val="18"/>
                <w:lang w:val="en-US" w:eastAsia="zh-CN"/>
              </w:rPr>
            </w:pP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ascii="仿宋_GB2312" w:hAnsi="宋体" w:eastAsia="仿宋_GB2312" w:cs="宋体"/>
                <w:kern w:val="0"/>
                <w:sz w:val="18"/>
                <w:szCs w:val="18"/>
              </w:rPr>
              <w:t>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“三公经费”＞</w:t>
            </w:r>
            <w:r>
              <w:rPr>
                <w:rFonts w:ascii="仿宋_GB2312" w:hAnsi="宋体" w:eastAsia="仿宋_GB2312" w:cs="宋体"/>
                <w:kern w:val="0"/>
                <w:sz w:val="18"/>
                <w:szCs w:val="18"/>
              </w:rPr>
              <w:t>0</w:t>
            </w:r>
            <w:r>
              <w:rPr>
                <w:rFonts w:hint="eastAsia" w:ascii="仿宋_GB2312" w:hAnsi="宋体" w:eastAsia="仿宋_GB2312" w:cs="宋体"/>
                <w:kern w:val="0"/>
                <w:sz w:val="18"/>
                <w:szCs w:val="18"/>
              </w:rPr>
              <w:t>，每超过一个百分点扣</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重点支出</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w:t>
            </w:r>
            <w:r>
              <w:rPr>
                <w:rFonts w:ascii="仿宋_GB2312" w:hAnsi="宋体" w:eastAsia="仿宋_GB2312" w:cs="宋体"/>
                <w:kern w:val="0"/>
                <w:sz w:val="18"/>
                <w:szCs w:val="18"/>
              </w:rPr>
              <w:t>90%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w:t>
            </w:r>
            <w:r>
              <w:rPr>
                <w:rFonts w:ascii="仿宋_GB2312" w:hAnsi="宋体" w:eastAsia="仿宋_GB2312" w:cs="宋体"/>
                <w:kern w:val="0"/>
                <w:sz w:val="18"/>
                <w:szCs w:val="18"/>
              </w:rPr>
              <w:t>80%</w:t>
            </w:r>
            <w:r>
              <w:rPr>
                <w:rFonts w:hint="eastAsia" w:ascii="仿宋_GB2312" w:hAnsi="宋体" w:eastAsia="仿宋_GB2312" w:cs="宋体"/>
                <w:kern w:val="0"/>
                <w:sz w:val="18"/>
                <w:szCs w:val="18"/>
              </w:rPr>
              <w:t>（含）</w:t>
            </w:r>
            <w:r>
              <w:rPr>
                <w:rFonts w:ascii="仿宋_GB2312" w:hAnsi="宋体" w:eastAsia="仿宋_GB2312" w:cs="宋体"/>
                <w:kern w:val="0"/>
                <w:sz w:val="18"/>
                <w:szCs w:val="18"/>
              </w:rPr>
              <w:t>-90%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4</w:t>
            </w:r>
            <w:r>
              <w:rPr>
                <w:rFonts w:hint="eastAsia" w:ascii="仿宋_GB2312" w:hAnsi="宋体" w:eastAsia="仿宋_GB2312" w:cs="宋体"/>
                <w:kern w:val="0"/>
                <w:sz w:val="18"/>
                <w:szCs w:val="18"/>
              </w:rPr>
              <w:t>分；</w:t>
            </w:r>
            <w:r>
              <w:rPr>
                <w:rFonts w:ascii="仿宋_GB2312" w:hAnsi="宋体" w:eastAsia="仿宋_GB2312" w:cs="宋体"/>
                <w:kern w:val="0"/>
                <w:sz w:val="18"/>
                <w:szCs w:val="18"/>
              </w:rPr>
              <w:t>70%</w:t>
            </w:r>
            <w:r>
              <w:rPr>
                <w:rFonts w:hint="eastAsia" w:ascii="仿宋_GB2312" w:hAnsi="宋体" w:eastAsia="仿宋_GB2312" w:cs="宋体"/>
                <w:kern w:val="0"/>
                <w:sz w:val="18"/>
                <w:szCs w:val="18"/>
              </w:rPr>
              <w:t>（含）</w:t>
            </w:r>
            <w:r>
              <w:rPr>
                <w:rFonts w:ascii="仿宋_GB2312" w:hAnsi="宋体" w:eastAsia="仿宋_GB2312" w:cs="宋体"/>
                <w:kern w:val="0"/>
                <w:sz w:val="18"/>
                <w:szCs w:val="18"/>
              </w:rPr>
              <w:t>-80%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t>60%</w:t>
            </w:r>
            <w:r>
              <w:rPr>
                <w:rFonts w:hint="eastAsia" w:ascii="仿宋_GB2312" w:hAnsi="宋体" w:eastAsia="仿宋_GB2312" w:cs="宋体"/>
                <w:kern w:val="0"/>
                <w:sz w:val="18"/>
                <w:szCs w:val="18"/>
              </w:rPr>
              <w:t>（含）</w:t>
            </w:r>
            <w:r>
              <w:rPr>
                <w:rFonts w:ascii="仿宋_GB2312" w:hAnsi="宋体" w:eastAsia="仿宋_GB2312" w:cs="宋体"/>
                <w:kern w:val="0"/>
                <w:sz w:val="18"/>
                <w:szCs w:val="18"/>
              </w:rPr>
              <w:t>-70%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分；低于</w:t>
            </w:r>
            <w:r>
              <w:rPr>
                <w:rFonts w:ascii="仿宋_GB2312" w:hAnsi="宋体" w:eastAsia="仿宋_GB2312" w:cs="宋体"/>
                <w:kern w:val="0"/>
                <w:sz w:val="18"/>
                <w:szCs w:val="18"/>
              </w:rPr>
              <w:t>60%</w:t>
            </w:r>
            <w:r>
              <w:rPr>
                <w:rFonts w:hint="eastAsia" w:ascii="仿宋_GB2312" w:hAnsi="宋体" w:eastAsia="仿宋_GB2312" w:cs="宋体"/>
                <w:kern w:val="0"/>
                <w:sz w:val="18"/>
                <w:szCs w:val="18"/>
              </w:rPr>
              <w:t>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程</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40</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预算执行</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r>
              <w:rPr>
                <w:rFonts w:ascii="仿宋_GB2312" w:hAnsi="宋体" w:eastAsia="仿宋_GB2312" w:cs="宋体"/>
                <w:kern w:val="0"/>
                <w:sz w:val="18"/>
                <w:szCs w:val="18"/>
              </w:rPr>
              <w:t>=0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t>0-10%</w:t>
            </w:r>
            <w:r>
              <w:rPr>
                <w:rFonts w:hint="eastAsia" w:ascii="仿宋_GB2312" w:hAnsi="宋体" w:eastAsia="仿宋_GB2312" w:cs="宋体"/>
                <w:kern w:val="0"/>
                <w:sz w:val="18"/>
                <w:szCs w:val="18"/>
              </w:rPr>
              <w:t>（含），计</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w:t>
            </w:r>
            <w:r>
              <w:rPr>
                <w:rFonts w:ascii="仿宋_GB2312" w:hAnsi="宋体" w:eastAsia="仿宋_GB2312" w:cs="宋体"/>
                <w:kern w:val="0"/>
                <w:sz w:val="18"/>
                <w:szCs w:val="18"/>
              </w:rPr>
              <w:t>10-20%</w:t>
            </w:r>
            <w:r>
              <w:rPr>
                <w:rFonts w:hint="eastAsia" w:ascii="仿宋_GB2312" w:hAnsi="宋体" w:eastAsia="仿宋_GB2312" w:cs="宋体"/>
                <w:kern w:val="0"/>
                <w:sz w:val="18"/>
                <w:szCs w:val="18"/>
              </w:rPr>
              <w:t>（含），计</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t>20-30%</w:t>
            </w:r>
            <w:r>
              <w:rPr>
                <w:rFonts w:hint="eastAsia" w:ascii="仿宋_GB2312" w:hAnsi="宋体" w:eastAsia="仿宋_GB2312" w:cs="宋体"/>
                <w:kern w:val="0"/>
                <w:sz w:val="18"/>
                <w:szCs w:val="18"/>
              </w:rPr>
              <w:t>（含），计</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分；大于</w:t>
            </w:r>
            <w:r>
              <w:rPr>
                <w:rFonts w:ascii="仿宋_GB2312" w:hAnsi="宋体" w:eastAsia="仿宋_GB2312" w:cs="宋体"/>
                <w:kern w:val="0"/>
                <w:sz w:val="18"/>
                <w:szCs w:val="18"/>
              </w:rPr>
              <w:t>30%</w:t>
            </w:r>
            <w:r>
              <w:rPr>
                <w:rFonts w:hint="eastAsia" w:ascii="仿宋_GB2312" w:hAnsi="宋体" w:eastAsia="仿宋_GB2312" w:cs="宋体"/>
                <w:kern w:val="0"/>
                <w:sz w:val="18"/>
                <w:szCs w:val="18"/>
              </w:rPr>
              <w:t>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春节前下达全部专项资金的</w:t>
            </w:r>
            <w:r>
              <w:rPr>
                <w:rFonts w:ascii="仿宋_GB2312" w:hAnsi="宋体" w:eastAsia="仿宋_GB2312" w:cs="宋体"/>
                <w:kern w:val="0"/>
                <w:sz w:val="18"/>
                <w:szCs w:val="18"/>
              </w:rPr>
              <w:t>50%</w:t>
            </w:r>
            <w:r>
              <w:rPr>
                <w:rFonts w:hint="eastAsia" w:ascii="仿宋_GB2312" w:hAnsi="宋体" w:eastAsia="仿宋_GB2312" w:cs="宋体"/>
                <w:kern w:val="0"/>
                <w:sz w:val="18"/>
                <w:szCs w:val="18"/>
              </w:rPr>
              <w:t>；</w:t>
            </w:r>
            <w:r>
              <w:rPr>
                <w:rFonts w:ascii="仿宋_GB2312" w:hAnsi="宋体" w:eastAsia="仿宋_GB2312" w:cs="宋体"/>
                <w:kern w:val="0"/>
                <w:sz w:val="18"/>
                <w:szCs w:val="18"/>
              </w:rPr>
              <w:t>6</w:t>
            </w:r>
            <w:r>
              <w:rPr>
                <w:rFonts w:hint="eastAsia" w:ascii="仿宋_GB2312" w:hAnsi="宋体" w:eastAsia="仿宋_GB2312" w:cs="宋体"/>
                <w:kern w:val="0"/>
                <w:sz w:val="18"/>
                <w:szCs w:val="18"/>
              </w:rPr>
              <w:t>月底前所有专项资金指标全部下达完。</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每出现一个专项未按进度完成资金下达扣</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619"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分；有结余，但不超过上年结转，</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分；结余超过上年结转，不得分。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49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w:t>
            </w:r>
            <w:r>
              <w:rPr>
                <w:rFonts w:ascii="仿宋_GB2312" w:hAnsi="宋体" w:eastAsia="仿宋_GB2312" w:cs="宋体"/>
                <w:kern w:val="0"/>
                <w:sz w:val="18"/>
                <w:szCs w:val="18"/>
              </w:rPr>
              <w:t>100%</w:t>
            </w:r>
            <w:r>
              <w:rPr>
                <w:rFonts w:hint="eastAsia" w:ascii="仿宋_GB2312" w:hAnsi="宋体" w:eastAsia="仿宋_GB2312" w:cs="宋体"/>
                <w:kern w:val="0"/>
                <w:sz w:val="18"/>
                <w:szCs w:val="18"/>
              </w:rPr>
              <w:t>为标准。三公经费控制率</w:t>
            </w:r>
            <w:r>
              <w:rPr>
                <w:rFonts w:hint="eastAsia" w:ascii="宋体" w:hAnsi="宋体" w:cs="宋体"/>
                <w:kern w:val="0"/>
                <w:sz w:val="18"/>
                <w:szCs w:val="18"/>
              </w:rPr>
              <w:t>≦</w:t>
            </w:r>
            <w:r>
              <w:rPr>
                <w:rFonts w:ascii="仿宋_GB2312" w:hAnsi="宋体" w:eastAsia="仿宋_GB2312" w:cs="宋体"/>
                <w:kern w:val="0"/>
                <w:sz w:val="18"/>
                <w:szCs w:val="18"/>
              </w:rPr>
              <w:t>100%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6</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每超过一个百分点扣</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6</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91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②相关管理制度合法、合规、完整，</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③相关管理制度得到有效执行，</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1802"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资金使用</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②资金拨付有完整的审批程序和手续；</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③项目支出按规定经过评估论证；</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④支出符合部门预算批复的用途；</w:t>
            </w:r>
            <w:r>
              <w:rPr>
                <w:rFonts w:ascii="仿宋_GB2312" w:hAnsi="宋体" w:eastAsia="仿宋_GB2312" w:cs="宋体"/>
                <w:kern w:val="0"/>
                <w:sz w:val="18"/>
                <w:szCs w:val="18"/>
              </w:rPr>
              <w:br w:type="textWrapping"/>
            </w:r>
            <w:r>
              <w:rPr>
                <w:rFonts w:hint="eastAsia" w:ascii="仿宋_GB2312" w:hAnsi="宋体" w:eastAsia="仿宋_GB2312" w:cs="宋体"/>
                <w:spacing w:val="-6"/>
                <w:kern w:val="0"/>
                <w:sz w:val="18"/>
                <w:szCs w:val="18"/>
              </w:rPr>
              <w:t>⑤资金使用无截留、挤占、挪用、虚列支出等情况。</w:t>
            </w:r>
            <w:r>
              <w:rPr>
                <w:rFonts w:ascii="仿宋_GB2312" w:hAnsi="宋体" w:eastAsia="仿宋_GB2312" w:cs="宋体"/>
                <w:spacing w:val="-6"/>
                <w:kern w:val="0"/>
                <w:sz w:val="18"/>
                <w:szCs w:val="18"/>
              </w:rPr>
              <w:br w:type="textWrapping"/>
            </w:r>
            <w:r>
              <w:rPr>
                <w:rFonts w:hint="eastAsia" w:ascii="仿宋_GB2312" w:hAnsi="宋体" w:eastAsia="仿宋_GB2312" w:cs="宋体"/>
                <w:spacing w:val="-6"/>
                <w:kern w:val="0"/>
                <w:sz w:val="18"/>
                <w:szCs w:val="18"/>
              </w:rPr>
              <w:t>以上情况每出现一例不符合要求的扣</w:t>
            </w:r>
            <w:r>
              <w:rPr>
                <w:rFonts w:ascii="仿宋_GB2312" w:hAnsi="宋体" w:eastAsia="仿宋_GB2312" w:cs="宋体"/>
                <w:spacing w:val="-6"/>
                <w:kern w:val="0"/>
                <w:sz w:val="18"/>
                <w:szCs w:val="18"/>
              </w:rPr>
              <w:t>1</w:t>
            </w:r>
            <w:r>
              <w:rPr>
                <w:rFonts w:hint="eastAsia" w:ascii="仿宋_GB2312" w:hAnsi="宋体" w:eastAsia="仿宋_GB2312" w:cs="宋体"/>
                <w:spacing w:val="-6"/>
                <w:kern w:val="0"/>
                <w:sz w:val="18"/>
                <w:szCs w:val="18"/>
              </w:rPr>
              <w:t>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Layout w:type="fixed"/>
          <w:tblCellMar>
            <w:top w:w="0" w:type="dxa"/>
            <w:left w:w="108" w:type="dxa"/>
            <w:bottom w:w="0" w:type="dxa"/>
            <w:right w:w="108" w:type="dxa"/>
          </w:tblCellMar>
        </w:tblPrEx>
        <w:trPr>
          <w:trHeight w:val="45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②按规定时限公开预决算信息，</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③基础数据信息和会计信息资料真实，</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④基础数据信息和会计信息资料完整，</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⑤基础数据信息和汇集信息资料准确，</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t xml:space="preserve">                                            </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57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政府采购</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政府采购执行率等于</w:t>
            </w:r>
            <w:r>
              <w:rPr>
                <w:rFonts w:ascii="仿宋_GB2312" w:hAnsi="宋体" w:eastAsia="仿宋_GB2312" w:cs="宋体"/>
                <w:kern w:val="0"/>
                <w:sz w:val="18"/>
                <w:szCs w:val="18"/>
              </w:rPr>
              <w:t>100%</w:t>
            </w:r>
            <w:r>
              <w:rPr>
                <w:rFonts w:hint="eastAsia" w:ascii="仿宋_GB2312" w:hAnsi="宋体" w:eastAsia="仿宋_GB2312" w:cs="宋体"/>
                <w:kern w:val="0"/>
                <w:sz w:val="18"/>
                <w:szCs w:val="18"/>
              </w:rPr>
              <w:t>的，得</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w:t>
            </w:r>
            <w:r>
              <w:rPr>
                <w:rFonts w:ascii="仿宋_GB2312" w:hAnsi="宋体" w:eastAsia="仿宋_GB2312" w:cs="宋体"/>
                <w:kern w:val="0"/>
                <w:sz w:val="18"/>
                <w:szCs w:val="18"/>
              </w:rPr>
              <w:t>0.2</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公务卡刷卡率达</w:t>
            </w:r>
            <w:r>
              <w:rPr>
                <w:rFonts w:ascii="仿宋_GB2312" w:hAnsi="宋体" w:eastAsia="仿宋_GB2312" w:cs="宋体"/>
                <w:kern w:val="0"/>
                <w:sz w:val="18"/>
                <w:szCs w:val="18"/>
              </w:rPr>
              <w:t>50</w:t>
            </w:r>
            <w:r>
              <w:rPr>
                <w:rFonts w:hint="eastAsia" w:ascii="仿宋_GB2312" w:hAnsi="宋体" w:eastAsia="仿宋_GB2312" w:cs="宋体"/>
                <w:kern w:val="0"/>
                <w:sz w:val="18"/>
                <w:szCs w:val="18"/>
              </w:rPr>
              <w:t>％以上的，得</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w:t>
            </w:r>
            <w:r>
              <w:rPr>
                <w:rFonts w:ascii="仿宋_GB2312" w:hAnsi="宋体" w:eastAsia="仿宋_GB2312" w:cs="宋体"/>
                <w:kern w:val="0"/>
                <w:sz w:val="18"/>
                <w:szCs w:val="18"/>
              </w:rPr>
              <w:t>0.2</w:t>
            </w:r>
            <w:r>
              <w:rPr>
                <w:rFonts w:hint="eastAsia" w:ascii="仿宋_GB2312" w:hAnsi="宋体" w:eastAsia="仿宋_GB2312" w:cs="宋体"/>
                <w:kern w:val="0"/>
                <w:sz w:val="18"/>
                <w:szCs w:val="18"/>
              </w:rPr>
              <w:t>分，扣完为止。</w:t>
            </w:r>
            <w:r>
              <w:rPr>
                <w:rFonts w:ascii="仿宋_GB2312" w:hAnsi="宋体" w:eastAsia="仿宋_GB2312" w:cs="宋体"/>
                <w:kern w:val="0"/>
                <w:sz w:val="18"/>
                <w:szCs w:val="18"/>
              </w:rPr>
              <w:t xml:space="preserve">                                            </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10</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②相关资产管理制度得到有效执行，</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t xml:space="preserve">                                           </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bl>
    <w:p/>
    <w:tbl>
      <w:tblPr>
        <w:tblStyle w:val="9"/>
        <w:tblW w:w="9894" w:type="dxa"/>
        <w:jc w:val="center"/>
        <w:tblInd w:w="0" w:type="dxa"/>
        <w:tblLayout w:type="fixed"/>
        <w:tblCellMar>
          <w:top w:w="0" w:type="dxa"/>
          <w:left w:w="108" w:type="dxa"/>
          <w:bottom w:w="0" w:type="dxa"/>
          <w:right w:w="108" w:type="dxa"/>
        </w:tblCellMar>
      </w:tblPr>
      <w:tblGrid>
        <w:gridCol w:w="976"/>
        <w:gridCol w:w="939"/>
        <w:gridCol w:w="1389"/>
        <w:gridCol w:w="4171"/>
        <w:gridCol w:w="619"/>
        <w:gridCol w:w="720"/>
        <w:gridCol w:w="1080"/>
      </w:tblGrid>
      <w:tr>
        <w:tblPrEx>
          <w:tblLayout w:type="fixed"/>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tblPrEx>
          <w:tblLayout w:type="fixed"/>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程</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w:t>
            </w:r>
            <w:r>
              <w:rPr>
                <w:rFonts w:ascii="仿宋_GB2312" w:hAnsi="宋体" w:eastAsia="仿宋_GB2312" w:cs="宋体"/>
                <w:kern w:val="0"/>
                <w:sz w:val="18"/>
                <w:szCs w:val="18"/>
              </w:rPr>
              <w:t>40</w:t>
            </w:r>
            <w:r>
              <w:rPr>
                <w:rFonts w:hint="eastAsia" w:ascii="仿宋_GB2312" w:hAnsi="宋体" w:eastAsia="仿宋_GB2312" w:cs="宋体"/>
                <w:kern w:val="0"/>
                <w:sz w:val="18"/>
                <w:szCs w:val="18"/>
              </w:rPr>
              <w:t>分）</w:t>
            </w:r>
          </w:p>
        </w:tc>
        <w:tc>
          <w:tcPr>
            <w:tcW w:w="93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10</w:t>
            </w:r>
            <w:r>
              <w:rPr>
                <w:rFonts w:hint="eastAsia" w:ascii="仿宋_GB2312" w:hAnsi="宋体" w:eastAsia="仿宋_GB2312" w:cs="宋体"/>
                <w:kern w:val="0"/>
                <w:sz w:val="18"/>
                <w:szCs w:val="18"/>
              </w:rPr>
              <w:t>分）</w:t>
            </w:r>
          </w:p>
        </w:tc>
        <w:tc>
          <w:tcPr>
            <w:tcW w:w="138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②资产配置合理；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③资产处置规范；</w:t>
            </w:r>
            <w:r>
              <w:rPr>
                <w:rFonts w:ascii="仿宋_GB2312" w:hAnsi="宋体" w:eastAsia="仿宋_GB2312" w:cs="宋体"/>
                <w:kern w:val="0"/>
                <w:sz w:val="18"/>
                <w:szCs w:val="18"/>
              </w:rPr>
              <w:t xml:space="preserve"> </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④资产账务管理合规，帐实相符；</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⑤资产有偿使用及处置收入及时足额上缴；</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以上情况每出现一例不符合有关要求的扣</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分，扣完为止。</w:t>
            </w:r>
          </w:p>
        </w:tc>
        <w:tc>
          <w:tcPr>
            <w:tcW w:w="61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774" w:hRule="atLeast"/>
          <w:jc w:val="center"/>
        </w:trPr>
        <w:tc>
          <w:tcPr>
            <w:tcW w:w="9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固定资产</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w:t>
            </w:r>
            <w:r>
              <w:rPr>
                <w:rFonts w:ascii="仿宋_GB2312" w:hAnsi="宋体" w:eastAsia="仿宋_GB2312" w:cs="宋体"/>
                <w:kern w:val="0"/>
                <w:sz w:val="18"/>
                <w:szCs w:val="18"/>
              </w:rPr>
              <w:t>100%</w:t>
            </w:r>
            <w:r>
              <w:rPr>
                <w:rFonts w:hint="eastAsia" w:ascii="仿宋_GB2312" w:hAnsi="宋体" w:eastAsia="仿宋_GB2312" w:cs="宋体"/>
                <w:kern w:val="0"/>
                <w:sz w:val="18"/>
                <w:szCs w:val="18"/>
              </w:rPr>
              <w:t>一个百分点扣</w:t>
            </w:r>
            <w:r>
              <w:rPr>
                <w:rFonts w:ascii="仿宋_GB2312" w:hAnsi="宋体" w:eastAsia="仿宋_GB2312" w:cs="宋体"/>
                <w:kern w:val="0"/>
                <w:sz w:val="18"/>
                <w:szCs w:val="18"/>
              </w:rPr>
              <w:t>0.1</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出（</w:t>
            </w:r>
            <w:r>
              <w:rPr>
                <w:rFonts w:ascii="仿宋_GB2312" w:hAnsi="宋体" w:eastAsia="仿宋_GB2312" w:cs="宋体"/>
                <w:kern w:val="0"/>
                <w:sz w:val="18"/>
                <w:szCs w:val="18"/>
              </w:rPr>
              <w:t>25</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职责履行</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25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根据岳县办发（</w:t>
            </w:r>
            <w:r>
              <w:rPr>
                <w:rFonts w:ascii="仿宋_GB2312" w:hAnsi="宋体" w:eastAsia="仿宋_GB2312" w:cs="宋体"/>
                <w:color w:val="000000"/>
                <w:kern w:val="0"/>
                <w:sz w:val="18"/>
                <w:szCs w:val="18"/>
              </w:rPr>
              <w:t>2021</w:t>
            </w:r>
            <w:r>
              <w:rPr>
                <w:rFonts w:hint="eastAsia" w:ascii="仿宋_GB2312" w:hAnsi="宋体" w:eastAsia="仿宋_GB2312" w:cs="宋体"/>
                <w:color w:val="000000"/>
                <w:kern w:val="0"/>
                <w:sz w:val="18"/>
                <w:szCs w:val="18"/>
              </w:rPr>
              <w:t>年）</w:t>
            </w:r>
            <w:r>
              <w:rPr>
                <w:rFonts w:ascii="仿宋_GB2312" w:hAnsi="宋体" w:eastAsia="仿宋_GB2312" w:cs="宋体"/>
                <w:color w:val="000000"/>
                <w:kern w:val="0"/>
                <w:sz w:val="18"/>
                <w:szCs w:val="18"/>
              </w:rPr>
              <w:t>1</w:t>
            </w:r>
            <w:r>
              <w:rPr>
                <w:rFonts w:hint="eastAsia" w:ascii="仿宋_GB2312" w:hAnsi="宋体" w:eastAsia="仿宋_GB2312" w:cs="宋体"/>
                <w:color w:val="000000"/>
                <w:kern w:val="0"/>
                <w:sz w:val="18"/>
                <w:szCs w:val="18"/>
              </w:rPr>
              <w:t>号《全面建成小康社会综合绩效考评实施方案》的通知折算</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建设岳阳县新增及目标任务完成情况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7</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省市县重点民生实事完成情况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省市县重点工程和重大项目建设完成情况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果</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20</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履职效益</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20</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61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p>
            <w:pPr>
              <w:widowControl/>
              <w:spacing w:line="240" w:lineRule="exact"/>
              <w:jc w:val="center"/>
              <w:rPr>
                <w:rFonts w:hint="eastAsia" w:ascii="仿宋_GB2312" w:hAnsi="宋体" w:eastAsia="仿宋_GB2312" w:cs="宋体"/>
                <w:kern w:val="0"/>
                <w:sz w:val="18"/>
                <w:szCs w:val="18"/>
                <w:lang w:val="en-US" w:eastAsia="zh-CN"/>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ascii="仿宋_GB2312" w:hAnsi="宋体" w:eastAsia="仿宋_GB2312" w:cs="宋体"/>
                <w:kern w:val="0"/>
                <w:sz w:val="18"/>
                <w:szCs w:val="18"/>
              </w:rPr>
              <w:t>95%</w:t>
            </w:r>
            <w:r>
              <w:rPr>
                <w:rFonts w:hint="eastAsia" w:ascii="仿宋_GB2312" w:hAnsi="宋体" w:eastAsia="仿宋_GB2312" w:cs="宋体"/>
                <w:kern w:val="0"/>
                <w:sz w:val="18"/>
                <w:szCs w:val="18"/>
              </w:rPr>
              <w:t>（含）以上计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w:t>
            </w:r>
          </w:p>
          <w:p>
            <w:pPr>
              <w:widowControl/>
              <w:spacing w:line="240" w:lineRule="exact"/>
              <w:jc w:val="left"/>
              <w:rPr>
                <w:rFonts w:ascii="仿宋_GB2312" w:hAnsi="宋体" w:eastAsia="仿宋_GB2312" w:cs="宋体"/>
                <w:kern w:val="0"/>
                <w:sz w:val="18"/>
                <w:szCs w:val="18"/>
              </w:rPr>
            </w:pPr>
            <w:r>
              <w:rPr>
                <w:rFonts w:ascii="仿宋_GB2312" w:hAnsi="宋体" w:eastAsia="仿宋_GB2312" w:cs="宋体"/>
                <w:kern w:val="0"/>
                <w:sz w:val="18"/>
                <w:szCs w:val="18"/>
              </w:rPr>
              <w:t>85%</w:t>
            </w:r>
            <w:r>
              <w:rPr>
                <w:rFonts w:hint="eastAsia" w:ascii="仿宋_GB2312" w:hAnsi="宋体" w:eastAsia="仿宋_GB2312" w:cs="宋体"/>
                <w:kern w:val="0"/>
                <w:sz w:val="18"/>
                <w:szCs w:val="18"/>
              </w:rPr>
              <w:t>（含）</w:t>
            </w:r>
            <w:r>
              <w:rPr>
                <w:rFonts w:ascii="仿宋_GB2312" w:hAnsi="宋体" w:eastAsia="仿宋_GB2312" w:cs="宋体"/>
                <w:kern w:val="0"/>
                <w:sz w:val="18"/>
                <w:szCs w:val="18"/>
              </w:rPr>
              <w:t>-95%</w:t>
            </w:r>
            <w:r>
              <w:rPr>
                <w:rFonts w:hint="eastAsia" w:ascii="仿宋_GB2312" w:hAnsi="宋体" w:eastAsia="仿宋_GB2312" w:cs="宋体"/>
                <w:kern w:val="0"/>
                <w:sz w:val="18"/>
                <w:szCs w:val="18"/>
              </w:rPr>
              <w:t>，计</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p>
          <w:p>
            <w:pPr>
              <w:widowControl/>
              <w:spacing w:line="240" w:lineRule="exact"/>
              <w:jc w:val="left"/>
              <w:rPr>
                <w:rFonts w:ascii="仿宋_GB2312" w:hAnsi="宋体" w:eastAsia="仿宋_GB2312" w:cs="宋体"/>
                <w:kern w:val="0"/>
                <w:sz w:val="18"/>
                <w:szCs w:val="18"/>
              </w:rPr>
            </w:pPr>
            <w:r>
              <w:rPr>
                <w:rFonts w:ascii="仿宋_GB2312" w:hAnsi="宋体" w:eastAsia="仿宋_GB2312" w:cs="宋体"/>
                <w:kern w:val="0"/>
                <w:sz w:val="18"/>
                <w:szCs w:val="18"/>
              </w:rPr>
              <w:t>75%</w:t>
            </w:r>
            <w:r>
              <w:rPr>
                <w:rFonts w:hint="eastAsia" w:ascii="仿宋_GB2312" w:hAnsi="宋体" w:eastAsia="仿宋_GB2312" w:cs="宋体"/>
                <w:kern w:val="0"/>
                <w:sz w:val="18"/>
                <w:szCs w:val="18"/>
              </w:rPr>
              <w:t>（含）</w:t>
            </w:r>
            <w:r>
              <w:rPr>
                <w:rFonts w:ascii="仿宋_GB2312" w:hAnsi="宋体" w:eastAsia="仿宋_GB2312" w:cs="宋体"/>
                <w:kern w:val="0"/>
                <w:sz w:val="18"/>
                <w:szCs w:val="18"/>
              </w:rPr>
              <w:t>-85%</w:t>
            </w:r>
            <w:r>
              <w:rPr>
                <w:rFonts w:hint="eastAsia" w:ascii="仿宋_GB2312" w:hAnsi="宋体" w:eastAsia="仿宋_GB2312" w:cs="宋体"/>
                <w:kern w:val="0"/>
                <w:sz w:val="18"/>
                <w:szCs w:val="18"/>
              </w:rPr>
              <w:t>，计</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w:t>
            </w:r>
            <w:r>
              <w:rPr>
                <w:rFonts w:ascii="仿宋_GB2312" w:hAnsi="宋体" w:eastAsia="仿宋_GB2312" w:cs="宋体"/>
                <w:kern w:val="0"/>
                <w:sz w:val="18"/>
                <w:szCs w:val="18"/>
              </w:rPr>
              <w:t>75%</w:t>
            </w:r>
            <w:r>
              <w:rPr>
                <w:rFonts w:hint="eastAsia" w:ascii="仿宋_GB2312" w:hAnsi="宋体" w:eastAsia="仿宋_GB2312" w:cs="宋体"/>
                <w:kern w:val="0"/>
                <w:sz w:val="18"/>
                <w:szCs w:val="18"/>
              </w:rPr>
              <w:t>计</w:t>
            </w:r>
            <w:r>
              <w:rPr>
                <w:rFonts w:ascii="仿宋_GB2312" w:hAnsi="宋体" w:eastAsia="仿宋_GB2312" w:cs="宋体"/>
                <w:kern w:val="0"/>
                <w:sz w:val="18"/>
                <w:szCs w:val="18"/>
              </w:rPr>
              <w:t>0</w:t>
            </w:r>
            <w:r>
              <w:rPr>
                <w:rFonts w:hint="eastAsia" w:ascii="仿宋_GB2312" w:hAnsi="宋体" w:eastAsia="仿宋_GB2312" w:cs="宋体"/>
                <w:kern w:val="0"/>
                <w:sz w:val="18"/>
                <w:szCs w:val="18"/>
              </w:rPr>
              <w:t>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p>
        </w:tc>
      </w:tr>
      <w:tr>
        <w:tblPrEx>
          <w:tblLayout w:type="fixed"/>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w:t>
            </w:r>
            <w:r>
              <w:rPr>
                <w:rFonts w:ascii="仿宋_GB2312" w:hAnsi="宋体" w:eastAsia="仿宋_GB2312" w:cs="宋体"/>
                <w:b/>
                <w:bCs/>
                <w:kern w:val="0"/>
                <w:sz w:val="18"/>
                <w:szCs w:val="18"/>
              </w:rPr>
              <w:t xml:space="preserve"> </w:t>
            </w:r>
            <w:r>
              <w:rPr>
                <w:rFonts w:hint="eastAsia" w:ascii="仿宋_GB2312" w:hAnsi="宋体" w:eastAsia="仿宋_GB2312" w:cs="宋体"/>
                <w:b/>
                <w:bCs/>
                <w:kern w:val="0"/>
                <w:sz w:val="18"/>
                <w:szCs w:val="18"/>
              </w:rPr>
              <w:t>分</w:t>
            </w:r>
          </w:p>
        </w:tc>
        <w:tc>
          <w:tcPr>
            <w:tcW w:w="93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spacing w:val="-8"/>
                <w:kern w:val="0"/>
                <w:sz w:val="18"/>
                <w:szCs w:val="18"/>
              </w:rPr>
            </w:pPr>
            <w:r>
              <w:rPr>
                <w:rFonts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hint="default" w:ascii="仿宋_GB2312" w:hAnsi="宋体" w:eastAsia="仿宋_GB2312" w:cs="宋体"/>
                <w:b/>
                <w:bCs/>
                <w:kern w:val="0"/>
                <w:sz w:val="18"/>
                <w:szCs w:val="18"/>
                <w:lang w:val="en-US" w:eastAsia="zh-CN"/>
              </w:rPr>
            </w:pPr>
            <w:r>
              <w:rPr>
                <w:rFonts w:hint="eastAsia" w:ascii="仿宋_GB2312" w:hAnsi="宋体" w:eastAsia="仿宋_GB2312" w:cs="宋体"/>
                <w:b/>
                <w:bCs/>
                <w:kern w:val="0"/>
                <w:sz w:val="18"/>
                <w:szCs w:val="18"/>
                <w:lang w:val="en-US" w:eastAsia="zh-CN"/>
              </w:rPr>
              <w:t>95</w:t>
            </w: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r>
    </w:tbl>
    <w:p>
      <w:pPr>
        <w:spacing w:beforeLines="50"/>
        <w:rPr>
          <w:rFonts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w:t>
      </w:r>
      <w:r>
        <w:rPr>
          <w:rFonts w:ascii="仿宋_GB2312" w:hAnsi="宋体" w:eastAsia="仿宋_GB2312" w:cs="宋体"/>
          <w:kern w:val="0"/>
          <w:szCs w:val="21"/>
        </w:rPr>
        <w:t>3</w:t>
      </w:r>
      <w:r>
        <w:rPr>
          <w:rFonts w:hint="eastAsia" w:ascii="仿宋_GB2312" w:hAnsi="宋体" w:eastAsia="仿宋_GB2312" w:cs="宋体"/>
          <w:kern w:val="0"/>
          <w:szCs w:val="21"/>
        </w:rPr>
        <w:t>《部门整体支出绩效评价指标体系（参考样表）》，须相应修改调整本表中的对应部分。</w:t>
      </w:r>
    </w:p>
    <w:p>
      <w:pPr>
        <w:spacing w:beforeLines="50"/>
        <w:rPr>
          <w:rFonts w:ascii="黑体" w:hAnsi="黑体" w:eastAsia="黑体"/>
          <w:sz w:val="32"/>
          <w:szCs w:val="32"/>
        </w:rPr>
      </w:pPr>
    </w:p>
    <w:p/>
    <w:sectPr>
      <w:pgSz w:w="11906" w:h="16838"/>
      <w:pgMar w:top="1418" w:right="1361"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A20EF6"/>
    <w:multiLevelType w:val="singleLevel"/>
    <w:tmpl w:val="93A20EF6"/>
    <w:lvl w:ilvl="0" w:tentative="0">
      <w:start w:val="1"/>
      <w:numFmt w:val="decimal"/>
      <w:suff w:val="space"/>
      <w:lvlText w:val="%1、"/>
      <w:lvlJc w:val="left"/>
    </w:lvl>
  </w:abstractNum>
  <w:abstractNum w:abstractNumId="1">
    <w:nsid w:val="FFFFFF7F"/>
    <w:multiLevelType w:val="singleLevel"/>
    <w:tmpl w:val="FFFFFF7F"/>
    <w:lvl w:ilvl="0" w:tentative="0">
      <w:start w:val="1"/>
      <w:numFmt w:val="decimal"/>
      <w:pStyle w:val="20"/>
      <w:lvlText w:val="%1."/>
      <w:lvlJc w:val="left"/>
      <w:pPr>
        <w:tabs>
          <w:tab w:val="left" w:pos="780"/>
        </w:tabs>
        <w:ind w:left="780" w:hanging="360"/>
      </w:pPr>
      <w:rPr>
        <w:rFonts w:cs="Times New Roman"/>
      </w:rPr>
    </w:lvl>
  </w:abstractNum>
  <w:num w:numId="1">
    <w:abstractNumId w:val="1"/>
    <w:lvlOverride w:ilvl="0">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VhZmY3YWNhZTExZjcxYWVkMTE2YzRkMDYzNGNmMmQifQ=="/>
  </w:docVars>
  <w:rsids>
    <w:rsidRoot w:val="00172A27"/>
    <w:rsid w:val="0000241F"/>
    <w:rsid w:val="000056A6"/>
    <w:rsid w:val="00005A3B"/>
    <w:rsid w:val="0000610C"/>
    <w:rsid w:val="00014921"/>
    <w:rsid w:val="0005701C"/>
    <w:rsid w:val="00073AAF"/>
    <w:rsid w:val="00090417"/>
    <w:rsid w:val="00093B20"/>
    <w:rsid w:val="000A0E5C"/>
    <w:rsid w:val="000B4BEB"/>
    <w:rsid w:val="000B7DCB"/>
    <w:rsid w:val="00100175"/>
    <w:rsid w:val="00107CC6"/>
    <w:rsid w:val="00122C2E"/>
    <w:rsid w:val="0014350A"/>
    <w:rsid w:val="001442A2"/>
    <w:rsid w:val="00146C23"/>
    <w:rsid w:val="00151B82"/>
    <w:rsid w:val="00157862"/>
    <w:rsid w:val="0016368C"/>
    <w:rsid w:val="00165E89"/>
    <w:rsid w:val="0017192D"/>
    <w:rsid w:val="00172A27"/>
    <w:rsid w:val="001A21D5"/>
    <w:rsid w:val="001A709B"/>
    <w:rsid w:val="001B0CF4"/>
    <w:rsid w:val="001B1869"/>
    <w:rsid w:val="001B2F7F"/>
    <w:rsid w:val="001B4EA7"/>
    <w:rsid w:val="001C4AD7"/>
    <w:rsid w:val="001C5954"/>
    <w:rsid w:val="001E26FB"/>
    <w:rsid w:val="001F2104"/>
    <w:rsid w:val="002318F0"/>
    <w:rsid w:val="00235B3A"/>
    <w:rsid w:val="00236844"/>
    <w:rsid w:val="00240F9A"/>
    <w:rsid w:val="00242262"/>
    <w:rsid w:val="00253B1F"/>
    <w:rsid w:val="00254CF8"/>
    <w:rsid w:val="00255404"/>
    <w:rsid w:val="00257206"/>
    <w:rsid w:val="00292AC1"/>
    <w:rsid w:val="0029605B"/>
    <w:rsid w:val="002969D6"/>
    <w:rsid w:val="002B26F1"/>
    <w:rsid w:val="002B569D"/>
    <w:rsid w:val="002B7EF4"/>
    <w:rsid w:val="002C0D36"/>
    <w:rsid w:val="002C4D24"/>
    <w:rsid w:val="002D5840"/>
    <w:rsid w:val="002F0080"/>
    <w:rsid w:val="00315C29"/>
    <w:rsid w:val="00321D2B"/>
    <w:rsid w:val="0033659F"/>
    <w:rsid w:val="00351AD3"/>
    <w:rsid w:val="00354479"/>
    <w:rsid w:val="00356458"/>
    <w:rsid w:val="0039290C"/>
    <w:rsid w:val="00392F62"/>
    <w:rsid w:val="00394BC2"/>
    <w:rsid w:val="003A2363"/>
    <w:rsid w:val="003A2FC5"/>
    <w:rsid w:val="003B3855"/>
    <w:rsid w:val="003B7876"/>
    <w:rsid w:val="003E4F5E"/>
    <w:rsid w:val="004036B5"/>
    <w:rsid w:val="004222D1"/>
    <w:rsid w:val="00422E14"/>
    <w:rsid w:val="00430153"/>
    <w:rsid w:val="00432C79"/>
    <w:rsid w:val="004503BD"/>
    <w:rsid w:val="00461395"/>
    <w:rsid w:val="00477933"/>
    <w:rsid w:val="004A44EA"/>
    <w:rsid w:val="004A51DC"/>
    <w:rsid w:val="004A671C"/>
    <w:rsid w:val="004B27D9"/>
    <w:rsid w:val="004C73DE"/>
    <w:rsid w:val="004E0A8E"/>
    <w:rsid w:val="004E3BE9"/>
    <w:rsid w:val="005072C9"/>
    <w:rsid w:val="00513037"/>
    <w:rsid w:val="005210E6"/>
    <w:rsid w:val="00530E15"/>
    <w:rsid w:val="005314BA"/>
    <w:rsid w:val="005422E5"/>
    <w:rsid w:val="0054679D"/>
    <w:rsid w:val="005477E5"/>
    <w:rsid w:val="00566F17"/>
    <w:rsid w:val="00582936"/>
    <w:rsid w:val="005864BC"/>
    <w:rsid w:val="005865B1"/>
    <w:rsid w:val="005A3532"/>
    <w:rsid w:val="005B4076"/>
    <w:rsid w:val="005C50B2"/>
    <w:rsid w:val="005C68D7"/>
    <w:rsid w:val="005F6DB6"/>
    <w:rsid w:val="00607401"/>
    <w:rsid w:val="006320B1"/>
    <w:rsid w:val="0064544F"/>
    <w:rsid w:val="00664E76"/>
    <w:rsid w:val="006841C9"/>
    <w:rsid w:val="00684E4B"/>
    <w:rsid w:val="00696545"/>
    <w:rsid w:val="006A5D82"/>
    <w:rsid w:val="006B6330"/>
    <w:rsid w:val="006D65AD"/>
    <w:rsid w:val="006E7307"/>
    <w:rsid w:val="006F5735"/>
    <w:rsid w:val="006F5FD4"/>
    <w:rsid w:val="007225D2"/>
    <w:rsid w:val="00735258"/>
    <w:rsid w:val="00742DAE"/>
    <w:rsid w:val="00764B34"/>
    <w:rsid w:val="00774D83"/>
    <w:rsid w:val="007829F0"/>
    <w:rsid w:val="007865A2"/>
    <w:rsid w:val="007C77EE"/>
    <w:rsid w:val="007D5B9F"/>
    <w:rsid w:val="007E1392"/>
    <w:rsid w:val="007E6513"/>
    <w:rsid w:val="007F487F"/>
    <w:rsid w:val="007F62AF"/>
    <w:rsid w:val="00815FBF"/>
    <w:rsid w:val="00841CD0"/>
    <w:rsid w:val="00847D60"/>
    <w:rsid w:val="00860AFD"/>
    <w:rsid w:val="008750DA"/>
    <w:rsid w:val="008A2E6B"/>
    <w:rsid w:val="008A7515"/>
    <w:rsid w:val="008C039F"/>
    <w:rsid w:val="008C33E9"/>
    <w:rsid w:val="008E1F76"/>
    <w:rsid w:val="008E57E1"/>
    <w:rsid w:val="009006A1"/>
    <w:rsid w:val="00956508"/>
    <w:rsid w:val="00962EF0"/>
    <w:rsid w:val="0097320B"/>
    <w:rsid w:val="00977F7F"/>
    <w:rsid w:val="009815AA"/>
    <w:rsid w:val="00982CDC"/>
    <w:rsid w:val="009863CE"/>
    <w:rsid w:val="00995ED0"/>
    <w:rsid w:val="00996441"/>
    <w:rsid w:val="009A298D"/>
    <w:rsid w:val="009B217B"/>
    <w:rsid w:val="009B4D8C"/>
    <w:rsid w:val="009B50F2"/>
    <w:rsid w:val="009D2E85"/>
    <w:rsid w:val="009D5C2C"/>
    <w:rsid w:val="009D72EA"/>
    <w:rsid w:val="009E388E"/>
    <w:rsid w:val="009E5A8A"/>
    <w:rsid w:val="009F3479"/>
    <w:rsid w:val="00A13259"/>
    <w:rsid w:val="00A16D05"/>
    <w:rsid w:val="00A30E83"/>
    <w:rsid w:val="00A4501D"/>
    <w:rsid w:val="00A51AA2"/>
    <w:rsid w:val="00A54BCA"/>
    <w:rsid w:val="00A61FD7"/>
    <w:rsid w:val="00A67A48"/>
    <w:rsid w:val="00A76673"/>
    <w:rsid w:val="00A87BCE"/>
    <w:rsid w:val="00A94900"/>
    <w:rsid w:val="00AA3FFE"/>
    <w:rsid w:val="00AA565C"/>
    <w:rsid w:val="00AA68AE"/>
    <w:rsid w:val="00AB7085"/>
    <w:rsid w:val="00AD4448"/>
    <w:rsid w:val="00AE1B6C"/>
    <w:rsid w:val="00AF11BE"/>
    <w:rsid w:val="00AF38EC"/>
    <w:rsid w:val="00B0185B"/>
    <w:rsid w:val="00B161A4"/>
    <w:rsid w:val="00B41813"/>
    <w:rsid w:val="00B427C3"/>
    <w:rsid w:val="00B43845"/>
    <w:rsid w:val="00B9518E"/>
    <w:rsid w:val="00BA392F"/>
    <w:rsid w:val="00BB1C78"/>
    <w:rsid w:val="00BB378C"/>
    <w:rsid w:val="00BB3C71"/>
    <w:rsid w:val="00BB6CF4"/>
    <w:rsid w:val="00BD02C0"/>
    <w:rsid w:val="00BD1DDD"/>
    <w:rsid w:val="00C11953"/>
    <w:rsid w:val="00C12B4A"/>
    <w:rsid w:val="00C32332"/>
    <w:rsid w:val="00C33347"/>
    <w:rsid w:val="00C37D62"/>
    <w:rsid w:val="00C704A3"/>
    <w:rsid w:val="00C71B07"/>
    <w:rsid w:val="00C74701"/>
    <w:rsid w:val="00C854FD"/>
    <w:rsid w:val="00C873D8"/>
    <w:rsid w:val="00C8756E"/>
    <w:rsid w:val="00C87FDB"/>
    <w:rsid w:val="00C921BC"/>
    <w:rsid w:val="00C94085"/>
    <w:rsid w:val="00C971C1"/>
    <w:rsid w:val="00C97C43"/>
    <w:rsid w:val="00CA1CF9"/>
    <w:rsid w:val="00CA6065"/>
    <w:rsid w:val="00CB1A56"/>
    <w:rsid w:val="00CB4149"/>
    <w:rsid w:val="00CC00C8"/>
    <w:rsid w:val="00CD48AB"/>
    <w:rsid w:val="00CE54A6"/>
    <w:rsid w:val="00CE5516"/>
    <w:rsid w:val="00D22353"/>
    <w:rsid w:val="00D255AA"/>
    <w:rsid w:val="00D523D6"/>
    <w:rsid w:val="00D54888"/>
    <w:rsid w:val="00D54CCA"/>
    <w:rsid w:val="00D77EE9"/>
    <w:rsid w:val="00D81B1D"/>
    <w:rsid w:val="00DA0456"/>
    <w:rsid w:val="00DB5442"/>
    <w:rsid w:val="00DC10F5"/>
    <w:rsid w:val="00DD1EB3"/>
    <w:rsid w:val="00DF1C77"/>
    <w:rsid w:val="00E142CB"/>
    <w:rsid w:val="00E35E48"/>
    <w:rsid w:val="00E40ED6"/>
    <w:rsid w:val="00E4198B"/>
    <w:rsid w:val="00E63914"/>
    <w:rsid w:val="00E67F74"/>
    <w:rsid w:val="00E95B71"/>
    <w:rsid w:val="00EB35F4"/>
    <w:rsid w:val="00EC40AF"/>
    <w:rsid w:val="00EC6F27"/>
    <w:rsid w:val="00ED7ACA"/>
    <w:rsid w:val="00EE315F"/>
    <w:rsid w:val="00EE67E1"/>
    <w:rsid w:val="00F37D73"/>
    <w:rsid w:val="00F435F8"/>
    <w:rsid w:val="00F60EC8"/>
    <w:rsid w:val="00F61205"/>
    <w:rsid w:val="00F766DE"/>
    <w:rsid w:val="00F81CBB"/>
    <w:rsid w:val="00F8501A"/>
    <w:rsid w:val="00F947E3"/>
    <w:rsid w:val="00FA6EE7"/>
    <w:rsid w:val="00FB16AF"/>
    <w:rsid w:val="00FB2BA1"/>
    <w:rsid w:val="00FD21C0"/>
    <w:rsid w:val="00FD708D"/>
    <w:rsid w:val="00FF3258"/>
    <w:rsid w:val="00FF605E"/>
    <w:rsid w:val="01E14C8F"/>
    <w:rsid w:val="03BA3259"/>
    <w:rsid w:val="03EE3D8D"/>
    <w:rsid w:val="0A030A34"/>
    <w:rsid w:val="0AE71698"/>
    <w:rsid w:val="24E23BAE"/>
    <w:rsid w:val="280F5D42"/>
    <w:rsid w:val="29315E51"/>
    <w:rsid w:val="29793438"/>
    <w:rsid w:val="2ECC6CF5"/>
    <w:rsid w:val="2F302D5E"/>
    <w:rsid w:val="3010509A"/>
    <w:rsid w:val="30B915C1"/>
    <w:rsid w:val="31803CA2"/>
    <w:rsid w:val="3D7D3613"/>
    <w:rsid w:val="3E6B1150"/>
    <w:rsid w:val="3EB17656"/>
    <w:rsid w:val="429513FF"/>
    <w:rsid w:val="4AAE2E99"/>
    <w:rsid w:val="4FD67B53"/>
    <w:rsid w:val="50B96C00"/>
    <w:rsid w:val="51F15F26"/>
    <w:rsid w:val="564C5E20"/>
    <w:rsid w:val="5A643868"/>
    <w:rsid w:val="5A6B22C0"/>
    <w:rsid w:val="5BDC26BF"/>
    <w:rsid w:val="5FD90E8E"/>
    <w:rsid w:val="619B225B"/>
    <w:rsid w:val="61D45989"/>
    <w:rsid w:val="64446389"/>
    <w:rsid w:val="68AA4C39"/>
    <w:rsid w:val="69AA5933"/>
    <w:rsid w:val="6AD76980"/>
    <w:rsid w:val="6FF46EB5"/>
    <w:rsid w:val="732561B0"/>
    <w:rsid w:val="74CE5F27"/>
    <w:rsid w:val="75F61BD9"/>
    <w:rsid w:val="7A920274"/>
    <w:rsid w:val="7CFD6D4D"/>
    <w:rsid w:val="7FC669D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name="Body Text Indent 2"/>
    <w:lsdException w:uiPriority="99" w:name="Body Text Indent 3"/>
    <w:lsdException w:uiPriority="99" w:name="Block Text"/>
    <w:lsdException w:qFormat="1" w:unhideWhenUsed="0" w:uiPriority="99" w:name="Hyperlink"/>
    <w:lsdException w:qFormat="1" w:unhideWhenUsed="0"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正文文本首行缩进 21"/>
    <w:basedOn w:val="3"/>
    <w:next w:val="1"/>
    <w:qFormat/>
    <w:uiPriority w:val="0"/>
    <w:pPr>
      <w:keepNext w:val="0"/>
      <w:keepLines w:val="0"/>
      <w:widowControl w:val="0"/>
      <w:suppressLineNumbers w:val="0"/>
      <w:spacing w:after="120" w:afterAutospacing="0"/>
      <w:ind w:left="420" w:leftChars="200" w:firstLine="420" w:firstLineChars="200"/>
      <w:jc w:val="both"/>
    </w:pPr>
    <w:rPr>
      <w:rFonts w:hint="default" w:ascii="Calibri" w:hAnsi="Calibri" w:eastAsia="宋体" w:cs="Times New Roman"/>
      <w:kern w:val="2"/>
      <w:sz w:val="21"/>
      <w:szCs w:val="21"/>
      <w:lang w:val="en-US" w:eastAsia="zh-CN" w:bidi="ar"/>
    </w:rPr>
  </w:style>
  <w:style w:type="paragraph" w:customStyle="1" w:styleId="3">
    <w:name w:val="正文文本缩进1"/>
    <w:basedOn w:val="1"/>
    <w:next w:val="2"/>
    <w:qFormat/>
    <w:uiPriority w:val="0"/>
    <w:pPr>
      <w:spacing w:after="120"/>
      <w:ind w:left="420" w:leftChars="200"/>
    </w:pPr>
  </w:style>
  <w:style w:type="paragraph" w:styleId="4">
    <w:name w:val="Date"/>
    <w:basedOn w:val="1"/>
    <w:next w:val="1"/>
    <w:link w:val="13"/>
    <w:semiHidden/>
    <w:qFormat/>
    <w:uiPriority w:val="99"/>
    <w:pPr>
      <w:ind w:left="100" w:leftChars="2500"/>
    </w:pPr>
  </w:style>
  <w:style w:type="paragraph" w:styleId="5">
    <w:name w:val="Body Text Indent 2"/>
    <w:basedOn w:val="1"/>
    <w:link w:val="14"/>
    <w:semiHidden/>
    <w:qFormat/>
    <w:uiPriority w:val="99"/>
    <w:pPr>
      <w:ind w:firstLine="588" w:firstLineChars="200"/>
    </w:pPr>
    <w:rPr>
      <w:rFonts w:ascii="仿宋_GB2312" w:hAnsi="Calibri" w:eastAsia="仿宋_GB2312"/>
      <w:sz w:val="32"/>
    </w:rPr>
  </w:style>
  <w:style w:type="paragraph" w:styleId="6">
    <w:name w:val="footer"/>
    <w:basedOn w:val="1"/>
    <w:link w:val="17"/>
    <w:semiHidden/>
    <w:qFormat/>
    <w:uiPriority w:val="99"/>
    <w:pPr>
      <w:tabs>
        <w:tab w:val="center" w:pos="4153"/>
        <w:tab w:val="right" w:pos="8306"/>
      </w:tabs>
      <w:snapToGrid w:val="0"/>
      <w:jc w:val="left"/>
    </w:pPr>
    <w:rPr>
      <w:kern w:val="0"/>
      <w:sz w:val="18"/>
      <w:szCs w:val="18"/>
    </w:rPr>
  </w:style>
  <w:style w:type="paragraph" w:styleId="7">
    <w:name w:val="header"/>
    <w:basedOn w:val="1"/>
    <w:link w:val="16"/>
    <w:semiHidden/>
    <w:qFormat/>
    <w:uiPriority w:val="99"/>
    <w:pP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kern w:val="0"/>
      <w:sz w:val="24"/>
    </w:rPr>
  </w:style>
  <w:style w:type="character" w:styleId="11">
    <w:name w:val="FollowedHyperlink"/>
    <w:basedOn w:val="10"/>
    <w:semiHidden/>
    <w:qFormat/>
    <w:uiPriority w:val="99"/>
    <w:rPr>
      <w:rFonts w:cs="Times New Roman"/>
      <w:color w:val="800080"/>
      <w:u w:val="single"/>
    </w:rPr>
  </w:style>
  <w:style w:type="character" w:styleId="12">
    <w:name w:val="Hyperlink"/>
    <w:basedOn w:val="10"/>
    <w:semiHidden/>
    <w:qFormat/>
    <w:uiPriority w:val="99"/>
    <w:rPr>
      <w:rFonts w:cs="Times New Roman"/>
      <w:color w:val="0000FF"/>
      <w:u w:val="single"/>
    </w:rPr>
  </w:style>
  <w:style w:type="character" w:customStyle="1" w:styleId="13">
    <w:name w:val="Date Char"/>
    <w:basedOn w:val="10"/>
    <w:link w:val="4"/>
    <w:semiHidden/>
    <w:qFormat/>
    <w:locked/>
    <w:uiPriority w:val="99"/>
    <w:rPr>
      <w:rFonts w:ascii="Times New Roman" w:hAnsi="Times New Roman" w:eastAsia="宋体" w:cs="Times New Roman"/>
      <w:sz w:val="24"/>
      <w:szCs w:val="24"/>
    </w:rPr>
  </w:style>
  <w:style w:type="character" w:customStyle="1" w:styleId="14">
    <w:name w:val="Body Text Indent 2 Char"/>
    <w:basedOn w:val="10"/>
    <w:link w:val="5"/>
    <w:semiHidden/>
    <w:qFormat/>
    <w:locked/>
    <w:uiPriority w:val="99"/>
    <w:rPr>
      <w:rFonts w:ascii="仿宋_GB2312" w:hAnsi="Calibri" w:eastAsia="仿宋_GB2312" w:cs="Times New Roman"/>
      <w:sz w:val="24"/>
      <w:szCs w:val="24"/>
    </w:rPr>
  </w:style>
  <w:style w:type="character" w:customStyle="1" w:styleId="15">
    <w:name w:val="Footer Char"/>
    <w:basedOn w:val="10"/>
    <w:link w:val="6"/>
    <w:semiHidden/>
    <w:qFormat/>
    <w:locked/>
    <w:uiPriority w:val="99"/>
    <w:rPr>
      <w:rFonts w:ascii="Times New Roman" w:hAnsi="Times New Roman" w:eastAsia="宋体" w:cs="Times New Roman"/>
      <w:kern w:val="0"/>
      <w:sz w:val="18"/>
      <w:szCs w:val="18"/>
    </w:rPr>
  </w:style>
  <w:style w:type="character" w:customStyle="1" w:styleId="16">
    <w:name w:val="Header Char"/>
    <w:basedOn w:val="10"/>
    <w:link w:val="7"/>
    <w:semiHidden/>
    <w:qFormat/>
    <w:locked/>
    <w:uiPriority w:val="99"/>
    <w:rPr>
      <w:rFonts w:ascii="Times New Roman" w:hAnsi="Times New Roman" w:eastAsia="宋体" w:cs="Times New Roman"/>
      <w:sz w:val="18"/>
      <w:szCs w:val="18"/>
    </w:rPr>
  </w:style>
  <w:style w:type="character" w:customStyle="1" w:styleId="17">
    <w:name w:val="页脚 Char"/>
    <w:basedOn w:val="10"/>
    <w:link w:val="6"/>
    <w:semiHidden/>
    <w:qFormat/>
    <w:locked/>
    <w:uiPriority w:val="99"/>
    <w:rPr>
      <w:rFonts w:ascii="Times New Roman" w:hAnsi="Times New Roman" w:eastAsia="宋体" w:cs="Times New Roman"/>
      <w:sz w:val="18"/>
      <w:szCs w:val="18"/>
    </w:rPr>
  </w:style>
  <w:style w:type="paragraph" w:customStyle="1" w:styleId="18">
    <w:name w:val="Char"/>
    <w:basedOn w:val="1"/>
    <w:qFormat/>
    <w:uiPriority w:val="99"/>
    <w:pPr>
      <w:autoSpaceDE w:val="0"/>
      <w:autoSpaceDN w:val="0"/>
      <w:adjustRightInd w:val="0"/>
    </w:pPr>
    <w:rPr>
      <w:rFonts w:ascii="宋体" w:cs="宋体"/>
      <w:kern w:val="0"/>
      <w:sz w:val="20"/>
      <w:szCs w:val="20"/>
      <w:lang w:val="zh-CN"/>
    </w:rPr>
  </w:style>
  <w:style w:type="paragraph" w:customStyle="1" w:styleId="19">
    <w:name w:val="Char1"/>
    <w:basedOn w:val="1"/>
    <w:qFormat/>
    <w:uiPriority w:val="99"/>
    <w:rPr>
      <w:rFonts w:ascii="仿宋_GB2312" w:eastAsia="仿宋_GB2312"/>
      <w:sz w:val="32"/>
    </w:rPr>
  </w:style>
  <w:style w:type="paragraph" w:customStyle="1" w:styleId="20">
    <w:name w:val="Char Char Char Char Char Char Char Char Char Char Char Char1 Char Char Char Char"/>
    <w:basedOn w:val="1"/>
    <w:qFormat/>
    <w:uiPriority w:val="99"/>
    <w:pPr>
      <w:numPr>
        <w:ilvl w:val="0"/>
        <w:numId w:val="1"/>
      </w:numPr>
      <w:tabs>
        <w:tab w:val="left" w:pos="720"/>
      </w:tabs>
    </w:pPr>
    <w:rPr>
      <w:szCs w:val="20"/>
    </w:rPr>
  </w:style>
  <w:style w:type="character" w:customStyle="1" w:styleId="21">
    <w:name w:val="标题 3 Char Char"/>
    <w:qFormat/>
    <w:uiPriority w:val="99"/>
    <w:rPr>
      <w:rFonts w:ascii="楷体_GB2312" w:eastAsia="楷体_GB2312"/>
      <w:b/>
      <w:kern w:val="2"/>
      <w:sz w:val="24"/>
      <w:lang w:val="en-US" w:eastAsia="zh-CN"/>
    </w:rPr>
  </w:style>
  <w:style w:type="character" w:customStyle="1" w:styleId="22">
    <w:name w:val="font11"/>
    <w:basedOn w:val="10"/>
    <w:qFormat/>
    <w:uiPriority w:val="99"/>
    <w:rPr>
      <w:rFonts w:ascii="宋体" w:hAnsi="宋体" w:eastAsia="宋体" w:cs="宋体"/>
      <w:b/>
      <w:bCs/>
      <w:color w:val="000000"/>
      <w:sz w:val="36"/>
      <w:szCs w:val="36"/>
      <w:u w:val="none"/>
    </w:rPr>
  </w:style>
  <w:style w:type="character" w:customStyle="1" w:styleId="23">
    <w:name w:val="font51"/>
    <w:basedOn w:val="10"/>
    <w:qFormat/>
    <w:uiPriority w:val="99"/>
    <w:rPr>
      <w:rFonts w:ascii="宋体" w:hAnsi="宋体" w:eastAsia="宋体" w:cs="宋体"/>
      <w:color w:val="000000"/>
      <w:sz w:val="20"/>
      <w:szCs w:val="20"/>
      <w:u w:val="none"/>
    </w:rPr>
  </w:style>
  <w:style w:type="character" w:customStyle="1" w:styleId="24">
    <w:name w:val="font91"/>
    <w:basedOn w:val="10"/>
    <w:qFormat/>
    <w:uiPriority w:val="99"/>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10</Pages>
  <Words>4128</Words>
  <Characters>4526</Characters>
  <Lines>0</Lines>
  <Paragraphs>0</Paragraphs>
  <TotalTime>17</TotalTime>
  <ScaleCrop>false</ScaleCrop>
  <LinksUpToDate>false</LinksUpToDate>
  <CharactersWithSpaces>4854</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2020-05-20T01:02:00Z</dcterms:created>
  <dc:creator>许节来 10.105.116.156</dc:creator>
  <cp:lastModifiedBy>Administrator</cp:lastModifiedBy>
  <dcterms:modified xsi:type="dcterms:W3CDTF">2023-12-28T06:42:02Z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D437A7A720334F978D14FA794832065D</vt:lpwstr>
  </property>
</Properties>
</file>