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2021年度</w:t>
      </w:r>
    </w:p>
    <w:p>
      <w:pPr>
        <w:pStyle w:val="11"/>
        <w:jc w:val="center"/>
        <w:rPr>
          <w:sz w:val="84"/>
          <w:szCs w:val="84"/>
        </w:rPr>
      </w:pPr>
      <w:r>
        <w:rPr>
          <w:rFonts w:hint="eastAsia"/>
          <w:sz w:val="84"/>
          <w:szCs w:val="84"/>
        </w:rPr>
        <w:t>岳阳县第二中学部门决算</w:t>
      </w:r>
    </w:p>
    <w:p>
      <w:pPr>
        <w:pStyle w:val="5"/>
        <w:shd w:val="clear" w:color="auto" w:fill="FFFFFF"/>
        <w:spacing w:before="0" w:beforeAutospacing="0" w:after="0" w:afterAutospacing="0" w:line="480" w:lineRule="auto"/>
        <w:ind w:firstLine="480"/>
        <w:jc w:val="both"/>
        <w:rPr>
          <w:rFonts w:ascii="微软雅黑" w:hAnsi="微软雅黑" w:eastAsia="微软雅黑"/>
          <w:b/>
          <w:color w:val="555555"/>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color w:val="555555"/>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color w:val="555555"/>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color w:val="555555"/>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p>
    <w:p>
      <w:pPr>
        <w:pStyle w:val="5"/>
        <w:shd w:val="clear" w:color="auto" w:fill="FFFFFF"/>
        <w:spacing w:before="0" w:beforeAutospacing="0" w:after="0" w:afterAutospacing="0" w:line="480" w:lineRule="auto"/>
        <w:jc w:val="both"/>
        <w:rPr>
          <w:rFonts w:ascii="微软雅黑" w:hAnsi="微软雅黑" w:eastAsia="微软雅黑"/>
          <w:b/>
          <w:sz w:val="19"/>
          <w:szCs w:val="19"/>
        </w:rPr>
      </w:pP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第一部分  岳阳县第二中学单位概况</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一、部门职责</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二、机构设置</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三、部门预算单位构成</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第二部分  岳阳县第二中学2021年度部门决算公开明细表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一、收入支出决算总表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二、收入决算表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三、支出决算表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四、财政拨款收入支出决算总表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五、一般公共预算财政拨款支出决算表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六、一般公共预算财政拨款基本支出决算表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七、一般公共预算财政拨款“三公”经费支出决算表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八、政府性基金预算财政拨款收入支出决算表</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第三部分  岳阳县第二中学2021年度部门决算情况说明</w:t>
      </w:r>
    </w:p>
    <w:p>
      <w:pPr>
        <w:pStyle w:val="11"/>
        <w:spacing w:line="500" w:lineRule="exact"/>
        <w:ind w:firstLine="475" w:firstLineChars="250"/>
        <w:rPr>
          <w:rFonts w:ascii="微软雅黑" w:hAnsi="微软雅黑" w:eastAsia="微软雅黑" w:cs="仿宋_GB2312"/>
          <w:color w:val="auto"/>
          <w:sz w:val="19"/>
          <w:szCs w:val="19"/>
        </w:rPr>
      </w:pPr>
      <w:r>
        <w:rPr>
          <w:rFonts w:ascii="微软雅黑" w:hAnsi="微软雅黑" w:eastAsia="微软雅黑" w:cs="仿宋_GB2312"/>
          <w:color w:val="auto"/>
          <w:sz w:val="19"/>
          <w:szCs w:val="19"/>
        </w:rPr>
        <w:t>一、收入支出决算总体情况说明</w:t>
      </w:r>
    </w:p>
    <w:p>
      <w:pPr>
        <w:spacing w:line="500" w:lineRule="exact"/>
        <w:ind w:firstLine="475" w:firstLineChars="250"/>
        <w:jc w:val="left"/>
        <w:rPr>
          <w:rFonts w:ascii="微软雅黑" w:hAnsi="微软雅黑" w:eastAsia="微软雅黑" w:cs="仿宋_GB2312"/>
          <w:sz w:val="19"/>
          <w:szCs w:val="19"/>
        </w:rPr>
      </w:pPr>
      <w:r>
        <w:rPr>
          <w:rFonts w:ascii="微软雅黑" w:hAnsi="微软雅黑" w:eastAsia="微软雅黑" w:cs="仿宋_GB2312"/>
          <w:sz w:val="19"/>
          <w:szCs w:val="19"/>
        </w:rPr>
        <w:t>二、收入决算情况说明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三、支出决算情况说明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四、财政拨款收入支出决算总体情况说明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五、一般公共预算财政拨款支出决算情况说明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六、一般公共预算财政拨款基本支出决算情况说明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七、一般公共预算财政拨款三公经费支出决算情况说明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八、政府性基金预算收入支出决算情况</w:t>
      </w:r>
    </w:p>
    <w:p>
      <w:pPr>
        <w:pStyle w:val="5"/>
        <w:keepNext w:val="0"/>
        <w:keepLines w:val="0"/>
        <w:widowControl/>
        <w:suppressLineNumbers w:val="0"/>
        <w:spacing w:before="0" w:beforeAutospacing="0" w:after="0" w:afterAutospacing="0" w:line="22" w:lineRule="atLeast"/>
        <w:ind w:left="0" w:firstLine="420"/>
        <w:jc w:val="both"/>
        <w:rPr>
          <w:sz w:val="32"/>
          <w:szCs w:val="32"/>
        </w:rPr>
      </w:pPr>
      <w:r>
        <w:rPr>
          <w:rFonts w:ascii="微软雅黑" w:hAnsi="微软雅黑" w:eastAsia="微软雅黑" w:cs="仿宋_GB2312"/>
          <w:kern w:val="0"/>
          <w:sz w:val="19"/>
          <w:szCs w:val="19"/>
        </w:rPr>
        <w:t>九、</w:t>
      </w:r>
      <w:r>
        <w:rPr>
          <w:rFonts w:ascii="微软雅黑" w:hAnsi="微软雅黑" w:eastAsia="微软雅黑" w:cs="仿宋_GB2312"/>
          <w:kern w:val="0"/>
          <w:sz w:val="19"/>
          <w:szCs w:val="19"/>
          <w:lang w:val="en-US" w:eastAsia="zh-CN" w:bidi="ar-SA"/>
        </w:rPr>
        <w:t>国有资本经营预算财政拨款支出决算情况</w:t>
      </w:r>
    </w:p>
    <w:p>
      <w:pPr>
        <w:autoSpaceDE w:val="0"/>
        <w:autoSpaceDN w:val="0"/>
        <w:adjustRightInd w:val="0"/>
        <w:spacing w:line="500" w:lineRule="exact"/>
        <w:ind w:firstLine="475" w:firstLineChars="250"/>
        <w:jc w:val="left"/>
        <w:rPr>
          <w:rFonts w:hint="default" w:ascii="微软雅黑" w:hAnsi="微软雅黑" w:eastAsia="微软雅黑" w:cs="仿宋_GB2312"/>
          <w:kern w:val="0"/>
          <w:sz w:val="19"/>
          <w:szCs w:val="19"/>
          <w:lang w:val="en-US" w:eastAsia="zh-CN"/>
        </w:rPr>
      </w:pP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十、机关运行经费支出说明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十一、一般性支出情况说明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十二、政府采购支出说明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十三、国有资产占用情况说明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r>
        <w:rPr>
          <w:rFonts w:ascii="微软雅黑" w:hAnsi="微软雅黑" w:eastAsia="微软雅黑" w:cs="仿宋_GB2312"/>
          <w:kern w:val="0"/>
          <w:sz w:val="19"/>
          <w:szCs w:val="19"/>
        </w:rPr>
        <w:t>十四、2021年度预算绩效情况说明</w:t>
      </w:r>
    </w:p>
    <w:p>
      <w:pPr>
        <w:autoSpaceDE w:val="0"/>
        <w:autoSpaceDN w:val="0"/>
        <w:adjustRightInd w:val="0"/>
        <w:spacing w:line="500" w:lineRule="exact"/>
        <w:ind w:firstLine="475" w:firstLineChars="250"/>
        <w:jc w:val="left"/>
        <w:rPr>
          <w:rFonts w:ascii="微软雅黑" w:hAnsi="微软雅黑" w:eastAsia="微软雅黑" w:cs="仿宋_GB2312"/>
          <w:kern w:val="0"/>
          <w:sz w:val="19"/>
          <w:szCs w:val="19"/>
        </w:rPr>
      </w:pPr>
    </w:p>
    <w:p>
      <w:pPr>
        <w:pStyle w:val="5"/>
        <w:shd w:val="clear" w:color="auto" w:fill="FFFFFF"/>
        <w:spacing w:before="0" w:beforeAutospacing="0" w:after="0" w:afterAutospacing="0" w:line="480" w:lineRule="auto"/>
        <w:ind w:firstLine="480"/>
        <w:jc w:val="both"/>
        <w:rPr>
          <w:rFonts w:hint="eastAsia" w:ascii="微软雅黑" w:hAnsi="微软雅黑" w:eastAsia="微软雅黑"/>
          <w:b/>
          <w:sz w:val="19"/>
          <w:szCs w:val="19"/>
        </w:rPr>
      </w:pPr>
      <w:r>
        <w:rPr>
          <w:rFonts w:hint="eastAsia" w:ascii="微软雅黑" w:hAnsi="微软雅黑" w:eastAsia="微软雅黑"/>
          <w:b/>
          <w:sz w:val="19"/>
          <w:szCs w:val="19"/>
        </w:rPr>
        <w:t>第四部分名称解释</w:t>
      </w:r>
    </w:p>
    <w:p>
      <w:pPr>
        <w:pStyle w:val="5"/>
        <w:shd w:val="clear" w:color="auto" w:fill="FFFFFF"/>
        <w:spacing w:before="0" w:beforeAutospacing="0" w:after="0" w:afterAutospacing="0" w:line="480" w:lineRule="auto"/>
        <w:ind w:firstLine="480"/>
        <w:jc w:val="both"/>
        <w:rPr>
          <w:rFonts w:hint="default" w:ascii="微软雅黑" w:hAnsi="微软雅黑" w:eastAsia="微软雅黑"/>
          <w:b/>
          <w:sz w:val="19"/>
          <w:szCs w:val="19"/>
          <w:lang w:val="en-US" w:eastAsia="zh-CN"/>
        </w:rPr>
      </w:pPr>
      <w:r>
        <w:rPr>
          <w:rFonts w:hint="eastAsia" w:ascii="微软雅黑" w:hAnsi="微软雅黑" w:eastAsia="微软雅黑"/>
          <w:b/>
          <w:sz w:val="19"/>
          <w:szCs w:val="19"/>
          <w:lang w:val="en-US" w:eastAsia="zh-CN"/>
        </w:rPr>
        <w:t>第五部分附件</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第一部分  岳阳县第二中学单位概况</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一、部门职责</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1、贯彻落实党和国家的教育方针、政策、法律、法规、规章，组织实施高中教育教学活动。</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二、机构设置</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岳阳县第二中学现有教职工230人，</w:t>
      </w:r>
      <w:r>
        <w:rPr>
          <w:rFonts w:hint="eastAsia" w:ascii="微软雅黑" w:hAnsi="微软雅黑" w:eastAsia="微软雅黑"/>
          <w:color w:val="333333"/>
          <w:sz w:val="18"/>
          <w:szCs w:val="18"/>
        </w:rPr>
        <w:t>退休教师65人，</w:t>
      </w:r>
      <w:r>
        <w:rPr>
          <w:rFonts w:hint="eastAsia" w:ascii="微软雅黑" w:hAnsi="微软雅黑" w:eastAsia="微软雅黑"/>
          <w:sz w:val="19"/>
          <w:szCs w:val="19"/>
        </w:rPr>
        <w:t>学生2558人。设置有办公室、教导处、后勤处、德育办四个处室和三个年级组。</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三、部门</w:t>
      </w:r>
      <w:r>
        <w:rPr>
          <w:rFonts w:hint="eastAsia" w:ascii="微软雅黑" w:hAnsi="微软雅黑" w:eastAsia="微软雅黑"/>
          <w:b/>
          <w:sz w:val="19"/>
          <w:szCs w:val="19"/>
          <w:lang w:val="en-US" w:eastAsia="zh-CN"/>
        </w:rPr>
        <w:t>决算</w:t>
      </w:r>
      <w:r>
        <w:rPr>
          <w:rFonts w:hint="eastAsia" w:ascii="微软雅黑" w:hAnsi="微软雅黑" w:eastAsia="微软雅黑"/>
          <w:b/>
          <w:sz w:val="19"/>
          <w:szCs w:val="19"/>
        </w:rPr>
        <w:t>单位构成</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岳阳县第二中学只有本级，没有其他预算单位，因此只含本级。</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第二部分  岳阳县第二中学2021年度部门决算表</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(见附表)</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第三部分  岳阳县第二中学2021年度部门决算情况说明</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一、收入支出决算总体情况说明</w:t>
      </w:r>
    </w:p>
    <w:p>
      <w:pPr>
        <w:ind w:firstLine="380" w:firstLineChars="200"/>
        <w:rPr>
          <w:rFonts w:ascii="宋体" w:hAnsi="宋体" w:eastAsia="宋体" w:cs="Arial"/>
          <w:color w:val="000000"/>
          <w:kern w:val="0"/>
          <w:sz w:val="22"/>
        </w:rPr>
      </w:pPr>
      <w:r>
        <w:rPr>
          <w:rFonts w:hint="eastAsia" w:ascii="微软雅黑" w:hAnsi="微软雅黑" w:eastAsia="微软雅黑"/>
          <w:sz w:val="19"/>
          <w:szCs w:val="19"/>
        </w:rPr>
        <w:t>2021年收入总计为</w:t>
      </w:r>
      <w:r>
        <w:rPr>
          <w:rFonts w:hint="eastAsia" w:ascii="宋体" w:hAnsi="宋体" w:eastAsia="宋体" w:cs="Arial"/>
          <w:color w:val="000000"/>
          <w:kern w:val="0"/>
          <w:sz w:val="22"/>
        </w:rPr>
        <w:t>4753.52</w:t>
      </w:r>
      <w:r>
        <w:rPr>
          <w:rFonts w:hint="eastAsia" w:ascii="微软雅黑" w:hAnsi="微软雅黑" w:eastAsia="微软雅黑"/>
          <w:sz w:val="19"/>
          <w:szCs w:val="19"/>
        </w:rPr>
        <w:t>万元，与</w:t>
      </w:r>
      <w:r>
        <w:rPr>
          <w:rFonts w:hint="eastAsia" w:ascii="微软雅黑" w:hAnsi="微软雅黑" w:eastAsia="微软雅黑"/>
          <w:sz w:val="19"/>
          <w:szCs w:val="19"/>
          <w:lang w:val="en-US" w:eastAsia="zh-CN"/>
        </w:rPr>
        <w:t>2020</w:t>
      </w:r>
      <w:r>
        <w:rPr>
          <w:rFonts w:hint="eastAsia" w:ascii="微软雅黑" w:hAnsi="微软雅黑" w:eastAsia="微软雅黑"/>
          <w:sz w:val="19"/>
          <w:szCs w:val="19"/>
        </w:rPr>
        <w:t>年相比，增长了327.2万元，增长了7.39%。增长的主要原因是：1、资本性支出增加；2、教职工工资普调和晋级增加了收入，教师基本工资、绩效工资提标;3、教师津补贴和年终绩效奖的提标。</w:t>
      </w:r>
    </w:p>
    <w:p>
      <w:pPr>
        <w:ind w:firstLine="380" w:firstLineChars="200"/>
        <w:rPr>
          <w:rFonts w:ascii="宋体" w:hAnsi="宋体" w:eastAsia="宋体" w:cs="Arial"/>
          <w:color w:val="000000"/>
          <w:kern w:val="0"/>
          <w:sz w:val="22"/>
        </w:rPr>
      </w:pPr>
      <w:r>
        <w:rPr>
          <w:rFonts w:hint="eastAsia" w:ascii="微软雅黑" w:hAnsi="微软雅黑" w:eastAsia="微软雅黑"/>
          <w:sz w:val="19"/>
          <w:szCs w:val="19"/>
        </w:rPr>
        <w:t>2021年支出总计4753.52万元，与</w:t>
      </w:r>
      <w:r>
        <w:rPr>
          <w:rFonts w:hint="eastAsia" w:ascii="微软雅黑" w:hAnsi="微软雅黑" w:eastAsia="微软雅黑"/>
          <w:sz w:val="19"/>
          <w:szCs w:val="19"/>
          <w:lang w:val="en-US" w:eastAsia="zh-CN"/>
        </w:rPr>
        <w:t>2020</w:t>
      </w:r>
      <w:r>
        <w:rPr>
          <w:rFonts w:hint="eastAsia" w:ascii="微软雅黑" w:hAnsi="微软雅黑" w:eastAsia="微软雅黑"/>
          <w:sz w:val="19"/>
          <w:szCs w:val="19"/>
        </w:rPr>
        <w:t>年相比增加了327.2万元，增长了7.39%。增长的主要原因是：1、资本性支出增加；2、教职工工资普调和晋级增加了收入，教师基本工资、绩效工资提标;3、教师津补贴和年终绩效奖的提标。</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二、收入决算情况说明</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本年度收入合计为4753.52万元（含年初结转和结余资金0万元），其中</w:t>
      </w:r>
      <w:r>
        <w:rPr>
          <w:rFonts w:hint="eastAsia" w:ascii="微软雅黑" w:hAnsi="微软雅黑" w:eastAsia="微软雅黑"/>
          <w:sz w:val="19"/>
          <w:szCs w:val="19"/>
          <w:lang w:eastAsia="zh-CN"/>
        </w:rPr>
        <w:t>：</w:t>
      </w:r>
      <w:r>
        <w:rPr>
          <w:rFonts w:hint="eastAsia" w:ascii="微软雅黑" w:hAnsi="微软雅黑" w:eastAsia="微软雅黑"/>
          <w:sz w:val="19"/>
          <w:szCs w:val="19"/>
        </w:rPr>
        <w:t>财政拨款收入为4241.8万元，占总收入的89.23%；事业收入481.72万元，占总收入的10.13%；其他收入30万元，占总收入的0.64%。较上年收入决算净增加了327.2万元，增长7.39%。增长原因：1、资本性支出增加；2、教职工工资普调和晋级增加了收入，教师基本工资、绩效工资提标；3、教师津补贴和年终绩效奖的提标。</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三、支出决算情况说明</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本年支出</w:t>
      </w:r>
      <w:r>
        <w:rPr>
          <w:rFonts w:hint="eastAsia" w:ascii="微软雅黑" w:hAnsi="微软雅黑" w:eastAsia="微软雅黑"/>
          <w:sz w:val="19"/>
          <w:szCs w:val="19"/>
          <w:lang w:val="en-US" w:eastAsia="zh-CN"/>
        </w:rPr>
        <w:t>合计</w:t>
      </w:r>
      <w:r>
        <w:rPr>
          <w:rFonts w:hint="eastAsia" w:ascii="微软雅黑" w:hAnsi="微软雅黑" w:eastAsia="微软雅黑"/>
          <w:sz w:val="19"/>
          <w:szCs w:val="19"/>
        </w:rPr>
        <w:t>为4753.52万元</w:t>
      </w:r>
      <w:r>
        <w:rPr>
          <w:rFonts w:hint="eastAsia" w:ascii="微软雅黑" w:hAnsi="微软雅黑" w:eastAsia="微软雅黑"/>
          <w:sz w:val="19"/>
          <w:szCs w:val="19"/>
          <w:lang w:eastAsia="zh-CN"/>
        </w:rPr>
        <w:t>，</w:t>
      </w:r>
      <w:r>
        <w:rPr>
          <w:rFonts w:hint="eastAsia" w:ascii="微软雅黑" w:hAnsi="微软雅黑" w:eastAsia="微软雅黑"/>
          <w:sz w:val="19"/>
          <w:szCs w:val="19"/>
        </w:rPr>
        <w:t>其中，基本支出为4074.93万元，占总支出的85.72%；项目支出 678.59万元，占14.28%。较上年支出决算增加了327.2万元，增长了7.39%。支出增加的主要原因是：1、资本性支出增加；2、教职工工资普调和晋级增加了收入，教师基本工资、绩效工资提标;3、教师津补贴和年终绩效奖的提标。</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四、财政拨款收入支出决算总体情况说明</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2021年度财政拨款收入合计4241.8万元（不含年初财政拨款结转和结余资金），与上年相比增加了562.86万元，增长了15.29%。主要是因为：1、资本性支出增加；2、教职工工资普调和晋级增加了收入，教师基本工资、绩效工资提标;3、教师津补贴和年终绩效奖的提标。4、教学设施投入。</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2021年度财政拨款支出决算为4241.8万元，较去年支出决算数相比增加了562.86万元，增长了15.29%。主要是因为：1、资本性支出增加；2、教职工工资普调和晋级增加了收入，教师基本工资、绩效工资提标;3、教师津补贴和年终绩效奖的提标。4、教学设施投入。</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五、一般公共预算财政拨款支出决算情况说明</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（一）财政拨款支出决算总体情况</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2021年度一般公共预算财政拨款支出决算为4241.8万元，占本年总支出的89.2%，与</w:t>
      </w:r>
      <w:r>
        <w:rPr>
          <w:rFonts w:hint="eastAsia" w:ascii="微软雅黑" w:hAnsi="微软雅黑" w:eastAsia="微软雅黑"/>
          <w:sz w:val="19"/>
          <w:szCs w:val="19"/>
          <w:lang w:val="en-US" w:eastAsia="zh-CN"/>
        </w:rPr>
        <w:t>2020</w:t>
      </w:r>
      <w:r>
        <w:rPr>
          <w:rFonts w:hint="eastAsia" w:ascii="微软雅黑" w:hAnsi="微软雅黑" w:eastAsia="微软雅黑"/>
          <w:sz w:val="19"/>
          <w:szCs w:val="19"/>
        </w:rPr>
        <w:t>年相比增加562.86万元，增长15.29%，变动主要原因是：1、资本性支出增加；2、教职工工资普调和晋级增加了收入，教师基本工资、绩效工资提标;3、教师津补贴和年终绩效奖的提标。4、教学设施投入。</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（二）财政拨款支出决算结构情况</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2021年度财政拨款支出4241.8万元，主要用于以下方面：教育支出4241.8万元，占100％。</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（三）财政拨款支出决算具体情况</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财政拨款年初预算数为4191万元，财政拨款本年支出决算数为4241.8万元，决算数比预算数多了50.8万元。决算完成预算的101.21%。其中：</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1、一般公共服务类高中教育支出4241.8万元，完成年初预算的101.21%。决算数大于年初预算数的主要原因是：（1）、资本性支出增加；（2）、教职工工资普调和晋级增加了收入，教师基本工资、绩效工资提标；（3）教师津补贴和年终绩效奖的提标。（4）、教学设施投入。</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六、一般公共预算财政拨款基本支出决算情况</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lang w:val="en-US" w:eastAsia="zh-CN"/>
        </w:rPr>
        <w:t>2021年度财政拨款基本支出3563.22万元，其中：</w:t>
      </w:r>
      <w:r>
        <w:rPr>
          <w:rFonts w:hint="eastAsia" w:ascii="微软雅黑" w:hAnsi="微软雅黑" w:eastAsia="微软雅黑"/>
          <w:sz w:val="19"/>
          <w:szCs w:val="19"/>
        </w:rPr>
        <w:t>人员经费3339.66万元，占基本支出的93.72%，主要用于发放基本工资、津贴补贴、绩效工资、奖金、社会保险缴费、住房公积金、抚恤金、遗属人员生活补助等；人员经费较去年增加397.52万元，增加13.51%，主要原因：一是干部职工工资普调和晋级增加了收入；二是教师基本工资、绩效工资提标; 三是教师津补贴和年终绩效奖的提标。日常公用经费223.56万元，占基本支出的6.28%，主要用于日常办公费、印刷费、水费、电费、邮电费、物业管理费、差旅费、维护费等；日常公用经费较去年减少了678.58万元，减少了75.2%，主要原因是资本性支出及大型维修列入了项目支出。</w:t>
      </w:r>
    </w:p>
    <w:p>
      <w:pPr>
        <w:pStyle w:val="5"/>
        <w:shd w:val="clear" w:color="auto" w:fill="FFFFFF"/>
        <w:spacing w:before="0" w:beforeAutospacing="0" w:after="0" w:afterAutospacing="0" w:line="480" w:lineRule="auto"/>
        <w:ind w:firstLine="480"/>
        <w:jc w:val="both"/>
        <w:rPr>
          <w:rFonts w:ascii="微软雅黑" w:hAnsi="微软雅黑" w:eastAsia="微软雅黑"/>
          <w:b/>
          <w:sz w:val="19"/>
          <w:szCs w:val="19"/>
        </w:rPr>
      </w:pPr>
      <w:r>
        <w:rPr>
          <w:rFonts w:hint="eastAsia" w:ascii="微软雅黑" w:hAnsi="微软雅黑" w:eastAsia="微软雅黑"/>
          <w:b/>
          <w:sz w:val="19"/>
          <w:szCs w:val="19"/>
        </w:rPr>
        <w:t>七、一般公共预算财政拨款“三公”经费支出决算情况说明</w:t>
      </w:r>
    </w:p>
    <w:p>
      <w:pPr>
        <w:pStyle w:val="5"/>
        <w:shd w:val="clear" w:color="auto" w:fill="FFFFFF"/>
        <w:spacing w:before="0" w:beforeAutospacing="0" w:after="0" w:afterAutospacing="0" w:line="480" w:lineRule="auto"/>
        <w:jc w:val="both"/>
        <w:rPr>
          <w:rFonts w:ascii="微软雅黑" w:hAnsi="微软雅黑" w:eastAsia="微软雅黑"/>
          <w:b/>
          <w:sz w:val="19"/>
          <w:szCs w:val="19"/>
        </w:rPr>
      </w:pPr>
      <w:r>
        <w:rPr>
          <w:rFonts w:hint="eastAsia" w:ascii="微软雅黑" w:hAnsi="微软雅黑" w:eastAsia="微软雅黑"/>
          <w:b/>
          <w:sz w:val="19"/>
          <w:szCs w:val="19"/>
        </w:rPr>
        <w:t>（一）“三公”经费财政拨款支出决算总体情况说明</w:t>
      </w:r>
    </w:p>
    <w:p>
      <w:pPr>
        <w:pStyle w:val="11"/>
        <w:ind w:firstLine="475" w:firstLineChars="250"/>
        <w:rPr>
          <w:rFonts w:ascii="微软雅黑" w:hAnsi="微软雅黑" w:eastAsia="微软雅黑"/>
          <w:color w:val="auto"/>
          <w:sz w:val="19"/>
          <w:szCs w:val="19"/>
        </w:rPr>
      </w:pPr>
      <w:r>
        <w:rPr>
          <w:rFonts w:hint="eastAsia" w:ascii="微软雅黑" w:hAnsi="微软雅黑" w:eastAsia="微软雅黑"/>
          <w:color w:val="auto"/>
          <w:sz w:val="19"/>
          <w:szCs w:val="19"/>
        </w:rPr>
        <w:t>“三公”经费财政拨款支出预算为0万元，支出决算为0万元，完成预算的100%，其中：</w:t>
      </w:r>
    </w:p>
    <w:p>
      <w:pPr>
        <w:pStyle w:val="11"/>
        <w:ind w:firstLine="475" w:firstLineChars="250"/>
        <w:rPr>
          <w:rFonts w:ascii="微软雅黑" w:hAnsi="微软雅黑" w:eastAsia="微软雅黑"/>
          <w:color w:val="auto"/>
          <w:sz w:val="19"/>
          <w:szCs w:val="19"/>
        </w:rPr>
      </w:pPr>
      <w:r>
        <w:rPr>
          <w:rFonts w:hint="eastAsia" w:ascii="微软雅黑" w:hAnsi="微软雅黑" w:eastAsia="微软雅黑"/>
          <w:color w:val="auto"/>
          <w:sz w:val="19"/>
          <w:szCs w:val="19"/>
        </w:rPr>
        <w:t>因公出国（境）费支出预算为0万元，支出决算为0万元，完成预算的100%，</w:t>
      </w:r>
      <w:r>
        <w:rPr>
          <w:rFonts w:hint="eastAsia" w:ascii="微软雅黑" w:hAnsi="微软雅黑" w:eastAsia="微软雅黑"/>
          <w:color w:val="auto"/>
          <w:sz w:val="19"/>
          <w:szCs w:val="19"/>
          <w:lang w:val="en-US" w:eastAsia="zh-CN"/>
        </w:rPr>
        <w:t>决算数等于年初预算数；</w:t>
      </w:r>
      <w:r>
        <w:rPr>
          <w:rFonts w:hint="eastAsia" w:ascii="微软雅黑" w:hAnsi="微软雅黑" w:eastAsia="微软雅黑"/>
          <w:color w:val="auto"/>
          <w:sz w:val="19"/>
          <w:szCs w:val="19"/>
        </w:rPr>
        <w:t>与上年相比减少（增加）0万元，减少（增长）0%,</w:t>
      </w:r>
      <w:r>
        <w:rPr>
          <w:rFonts w:hint="eastAsia" w:ascii="微软雅黑" w:hAnsi="微软雅黑" w:eastAsia="微软雅黑"/>
          <w:color w:val="auto"/>
          <w:sz w:val="19"/>
          <w:szCs w:val="19"/>
          <w:lang w:val="en-US" w:eastAsia="zh-CN"/>
        </w:rPr>
        <w:t>无主要原因</w:t>
      </w:r>
      <w:r>
        <w:rPr>
          <w:rFonts w:hint="eastAsia" w:ascii="微软雅黑" w:hAnsi="微软雅黑" w:eastAsia="微软雅黑"/>
          <w:color w:val="auto"/>
          <w:sz w:val="19"/>
          <w:szCs w:val="19"/>
        </w:rPr>
        <w:t>。</w:t>
      </w:r>
    </w:p>
    <w:p>
      <w:pPr>
        <w:pStyle w:val="11"/>
        <w:ind w:firstLine="475" w:firstLineChars="250"/>
        <w:rPr>
          <w:rFonts w:ascii="微软雅黑" w:hAnsi="微软雅黑" w:eastAsia="微软雅黑"/>
          <w:color w:val="auto"/>
          <w:sz w:val="19"/>
          <w:szCs w:val="19"/>
        </w:rPr>
      </w:pPr>
      <w:r>
        <w:rPr>
          <w:rFonts w:hint="eastAsia" w:ascii="微软雅黑" w:hAnsi="微软雅黑" w:eastAsia="微软雅黑"/>
          <w:color w:val="auto"/>
          <w:sz w:val="19"/>
          <w:szCs w:val="19"/>
        </w:rPr>
        <w:t>公务接待费支出预算为0万元，支出决算为0万元，完成预算的100%，决算数</w:t>
      </w:r>
      <w:r>
        <w:rPr>
          <w:rFonts w:hint="eastAsia" w:ascii="微软雅黑" w:hAnsi="微软雅黑" w:eastAsia="微软雅黑"/>
          <w:color w:val="auto"/>
          <w:sz w:val="19"/>
          <w:szCs w:val="19"/>
          <w:lang w:val="en-US" w:eastAsia="zh-CN"/>
        </w:rPr>
        <w:t>等于</w:t>
      </w:r>
      <w:r>
        <w:rPr>
          <w:rFonts w:hint="eastAsia" w:ascii="微软雅黑" w:hAnsi="微软雅黑" w:eastAsia="微软雅黑"/>
          <w:color w:val="auto"/>
          <w:sz w:val="19"/>
          <w:szCs w:val="19"/>
        </w:rPr>
        <w:t>预算数，与上年相比减少（增加）0万元，减少（增长）0%</w:t>
      </w:r>
      <w:r>
        <w:rPr>
          <w:rFonts w:hint="eastAsia" w:ascii="微软雅黑" w:hAnsi="微软雅黑" w:eastAsia="微软雅黑"/>
          <w:color w:val="auto"/>
          <w:sz w:val="19"/>
          <w:szCs w:val="19"/>
          <w:lang w:eastAsia="zh-CN"/>
        </w:rPr>
        <w:t>，</w:t>
      </w:r>
      <w:r>
        <w:rPr>
          <w:rFonts w:hint="eastAsia" w:ascii="微软雅黑" w:hAnsi="微软雅黑" w:eastAsia="微软雅黑"/>
          <w:color w:val="auto"/>
          <w:sz w:val="19"/>
          <w:szCs w:val="19"/>
          <w:lang w:val="en-US" w:eastAsia="zh-CN"/>
        </w:rPr>
        <w:t>无主要原因</w:t>
      </w:r>
      <w:r>
        <w:rPr>
          <w:rFonts w:hint="eastAsia" w:ascii="微软雅黑" w:hAnsi="微软雅黑" w:eastAsia="微软雅黑"/>
          <w:color w:val="auto"/>
          <w:sz w:val="19"/>
          <w:szCs w:val="19"/>
        </w:rPr>
        <w:t>。</w:t>
      </w:r>
    </w:p>
    <w:p>
      <w:pPr>
        <w:pStyle w:val="11"/>
        <w:spacing w:line="600" w:lineRule="exact"/>
        <w:ind w:firstLine="380" w:firstLineChars="200"/>
        <w:rPr>
          <w:rFonts w:ascii="Times New Roman" w:hAnsi="Times New Roman" w:eastAsia="仿宋_GB2312" w:cs="Times New Roman"/>
          <w:color w:val="auto"/>
          <w:sz w:val="32"/>
          <w:szCs w:val="32"/>
        </w:rPr>
      </w:pPr>
      <w:r>
        <w:rPr>
          <w:rFonts w:hint="eastAsia" w:ascii="微软雅黑" w:hAnsi="微软雅黑" w:eastAsia="微软雅黑"/>
          <w:color w:val="auto"/>
          <w:sz w:val="19"/>
          <w:szCs w:val="19"/>
        </w:rPr>
        <w:t>公务用车购置费及运行维护费支出预算为0万元，支出决算为</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 xml:space="preserve"> 万元，完成预算的 </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 xml:space="preserve"> %，决算数</w:t>
      </w:r>
      <w:r>
        <w:rPr>
          <w:rFonts w:hint="eastAsia" w:ascii="微软雅黑" w:hAnsi="微软雅黑" w:eastAsia="微软雅黑"/>
          <w:color w:val="auto"/>
          <w:sz w:val="19"/>
          <w:szCs w:val="19"/>
          <w:lang w:val="en-US" w:eastAsia="zh-CN"/>
        </w:rPr>
        <w:t>等于</w:t>
      </w:r>
      <w:r>
        <w:rPr>
          <w:rFonts w:hint="eastAsia" w:ascii="微软雅黑" w:hAnsi="微软雅黑" w:eastAsia="微软雅黑"/>
          <w:color w:val="auto"/>
          <w:sz w:val="19"/>
          <w:szCs w:val="19"/>
        </w:rPr>
        <w:t xml:space="preserve">年初预算数，上年相比减少（增加） </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万元，减少（增长）0%</w:t>
      </w:r>
      <w:r>
        <w:rPr>
          <w:rFonts w:hint="eastAsia" w:ascii="微软雅黑" w:hAnsi="微软雅黑" w:eastAsia="微软雅黑"/>
          <w:color w:val="auto"/>
          <w:sz w:val="19"/>
          <w:szCs w:val="19"/>
          <w:lang w:eastAsia="zh-CN"/>
        </w:rPr>
        <w:t>，</w:t>
      </w:r>
      <w:r>
        <w:rPr>
          <w:rFonts w:hint="eastAsia" w:ascii="微软雅黑" w:hAnsi="微软雅黑" w:eastAsia="微软雅黑"/>
          <w:color w:val="auto"/>
          <w:sz w:val="19"/>
          <w:szCs w:val="19"/>
          <w:lang w:val="en-US" w:eastAsia="zh-CN"/>
        </w:rPr>
        <w:t>无主要</w:t>
      </w:r>
      <w:r>
        <w:rPr>
          <w:rFonts w:hint="eastAsia" w:ascii="微软雅黑" w:hAnsi="微软雅黑" w:eastAsia="微软雅黑"/>
          <w:color w:val="auto"/>
          <w:sz w:val="19"/>
          <w:szCs w:val="19"/>
        </w:rPr>
        <w:t>主要原因。</w:t>
      </w:r>
    </w:p>
    <w:p>
      <w:pPr>
        <w:pStyle w:val="11"/>
        <w:rPr>
          <w:rFonts w:ascii="微软雅黑" w:hAnsi="微软雅黑" w:eastAsia="微软雅黑"/>
          <w:b/>
          <w:color w:val="auto"/>
          <w:sz w:val="19"/>
          <w:szCs w:val="19"/>
        </w:rPr>
      </w:pPr>
      <w:r>
        <w:rPr>
          <w:rFonts w:hint="eastAsia" w:ascii="微软雅黑" w:hAnsi="微软雅黑" w:eastAsia="微软雅黑"/>
          <w:b/>
          <w:color w:val="auto"/>
          <w:sz w:val="19"/>
          <w:szCs w:val="19"/>
        </w:rPr>
        <w:t>（二）“三公”经费财政拨款支出决算具体情况说明</w:t>
      </w:r>
    </w:p>
    <w:p>
      <w:pPr>
        <w:pStyle w:val="11"/>
        <w:ind w:firstLine="380" w:firstLineChars="200"/>
        <w:rPr>
          <w:rFonts w:hint="eastAsia" w:ascii="微软雅黑" w:hAnsi="微软雅黑" w:eastAsia="微软雅黑"/>
          <w:color w:val="auto"/>
          <w:sz w:val="19"/>
          <w:szCs w:val="19"/>
        </w:rPr>
      </w:pPr>
      <w:r>
        <w:rPr>
          <w:rFonts w:hint="eastAsia" w:ascii="微软雅黑" w:hAnsi="微软雅黑" w:eastAsia="微软雅黑"/>
          <w:color w:val="auto"/>
          <w:sz w:val="19"/>
          <w:szCs w:val="19"/>
        </w:rPr>
        <w:t>2021年度“三公”经费财政拨款支出决算中，公务接待费支出决算0万元，占0%,因公出国（境）费支出决算</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万元，占</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%,公务用车购置费及运行维护费支出决算</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万元，占</w:t>
      </w:r>
      <w:r>
        <w:rPr>
          <w:rFonts w:hint="eastAsia" w:ascii="微软雅黑" w:hAnsi="微软雅黑" w:eastAsia="微软雅黑"/>
          <w:color w:val="auto"/>
          <w:sz w:val="19"/>
          <w:szCs w:val="19"/>
          <w:lang w:val="en-US" w:eastAsia="zh-CN"/>
        </w:rPr>
        <w:t>0</w:t>
      </w:r>
      <w:r>
        <w:rPr>
          <w:rFonts w:hint="eastAsia" w:ascii="微软雅黑" w:hAnsi="微软雅黑" w:eastAsia="微软雅黑"/>
          <w:color w:val="auto"/>
          <w:sz w:val="19"/>
          <w:szCs w:val="19"/>
        </w:rPr>
        <w:t>%。其中：</w:t>
      </w:r>
    </w:p>
    <w:p>
      <w:pPr>
        <w:ind w:firstLine="475" w:firstLineChars="250"/>
        <w:rPr>
          <w:rFonts w:hint="eastAsia" w:ascii="微软雅黑" w:hAnsi="微软雅黑" w:eastAsia="微软雅黑"/>
          <w:sz w:val="19"/>
          <w:szCs w:val="19"/>
          <w:lang w:eastAsia="zh-CN"/>
        </w:rPr>
      </w:pPr>
      <w:r>
        <w:rPr>
          <w:rFonts w:hint="eastAsia" w:ascii="微软雅黑" w:hAnsi="微软雅黑" w:eastAsia="微软雅黑"/>
          <w:sz w:val="19"/>
          <w:szCs w:val="19"/>
          <w:lang w:val="en-US" w:eastAsia="zh-CN"/>
        </w:rPr>
        <w:t>1、</w:t>
      </w:r>
      <w:r>
        <w:rPr>
          <w:rFonts w:hint="eastAsia" w:ascii="微软雅黑" w:hAnsi="微软雅黑" w:eastAsia="微软雅黑"/>
          <w:sz w:val="19"/>
          <w:szCs w:val="19"/>
        </w:rPr>
        <w:t xml:space="preserve">因公出国（境）费支出决算0万元，,全年安排因公出国（境）团组 </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个，累计</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人次,</w:t>
      </w:r>
      <w:r>
        <w:rPr>
          <w:rFonts w:hint="eastAsia" w:ascii="微软雅黑" w:hAnsi="微软雅黑" w:eastAsia="微软雅黑"/>
          <w:sz w:val="19"/>
          <w:szCs w:val="19"/>
          <w:lang w:val="en-US" w:eastAsia="zh-CN"/>
        </w:rPr>
        <w:t>无</w:t>
      </w:r>
      <w:r>
        <w:rPr>
          <w:rFonts w:hint="eastAsia" w:ascii="微软雅黑" w:hAnsi="微软雅黑" w:eastAsia="微软雅黑"/>
          <w:sz w:val="19"/>
          <w:szCs w:val="19"/>
        </w:rPr>
        <w:t>开支内容</w:t>
      </w:r>
      <w:r>
        <w:rPr>
          <w:rFonts w:hint="eastAsia" w:ascii="微软雅黑" w:hAnsi="微软雅黑" w:eastAsia="微软雅黑"/>
          <w:sz w:val="19"/>
          <w:szCs w:val="19"/>
          <w:lang w:eastAsia="zh-CN"/>
        </w:rPr>
        <w:t>。</w:t>
      </w:r>
    </w:p>
    <w:p>
      <w:pPr>
        <w:ind w:firstLine="475" w:firstLineChars="250"/>
        <w:rPr>
          <w:rFonts w:hint="eastAsia" w:ascii="微软雅黑" w:hAnsi="微软雅黑" w:eastAsia="微软雅黑"/>
          <w:sz w:val="19"/>
          <w:szCs w:val="19"/>
          <w:lang w:eastAsia="zh-CN"/>
        </w:rPr>
      </w:pPr>
      <w:r>
        <w:rPr>
          <w:rFonts w:hint="eastAsia" w:ascii="微软雅黑" w:hAnsi="微软雅黑" w:eastAsia="微软雅黑"/>
          <w:sz w:val="19"/>
          <w:szCs w:val="19"/>
        </w:rPr>
        <w:t>2、公务接待费支出决算为0万元</w:t>
      </w:r>
      <w:r>
        <w:rPr>
          <w:rFonts w:hint="eastAsia" w:ascii="微软雅黑" w:hAnsi="微软雅黑" w:eastAsia="微软雅黑"/>
          <w:sz w:val="19"/>
          <w:szCs w:val="19"/>
          <w:lang w:eastAsia="zh-CN"/>
        </w:rPr>
        <w:t>，</w:t>
      </w:r>
      <w:r>
        <w:rPr>
          <w:rFonts w:hint="eastAsia" w:ascii="微软雅黑" w:hAnsi="微软雅黑" w:eastAsia="微软雅黑"/>
          <w:sz w:val="19"/>
          <w:szCs w:val="19"/>
          <w:lang w:val="en-US" w:eastAsia="zh-CN"/>
        </w:rPr>
        <w:t>全年共接待来访团组 0 个、来宾 0人次，无发生的接待支出。</w:t>
      </w:r>
    </w:p>
    <w:p>
      <w:pPr>
        <w:ind w:firstLine="475" w:firstLineChars="250"/>
        <w:rPr>
          <w:rFonts w:ascii="微软雅黑" w:hAnsi="微软雅黑" w:eastAsia="微软雅黑"/>
          <w:sz w:val="19"/>
          <w:szCs w:val="19"/>
        </w:rPr>
      </w:pPr>
      <w:r>
        <w:rPr>
          <w:rFonts w:hint="eastAsia" w:ascii="微软雅黑" w:hAnsi="微软雅黑" w:eastAsia="微软雅黑"/>
          <w:sz w:val="19"/>
          <w:szCs w:val="19"/>
        </w:rPr>
        <w:t>3、公务用车购置费及运行维护费支出决算为</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万元，其中：公务用车购置费</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 xml:space="preserve"> 万元，更新公务用车</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 xml:space="preserve">辆。公务用车运行维护费 </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万元，，截止</w:t>
      </w:r>
      <w:r>
        <w:rPr>
          <w:rFonts w:hint="eastAsia" w:ascii="微软雅黑" w:hAnsi="微软雅黑" w:eastAsia="微软雅黑"/>
          <w:sz w:val="19"/>
          <w:szCs w:val="19"/>
          <w:lang w:val="en-US" w:eastAsia="zh-CN"/>
        </w:rPr>
        <w:t>2020</w:t>
      </w:r>
      <w:r>
        <w:rPr>
          <w:rFonts w:hint="eastAsia" w:ascii="微软雅黑" w:hAnsi="微软雅黑" w:eastAsia="微软雅黑"/>
          <w:sz w:val="19"/>
          <w:szCs w:val="19"/>
        </w:rPr>
        <w:t>年 12月31日，我单位开支财政拨款的公务用车保有量为</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 xml:space="preserve"> 辆。</w:t>
      </w:r>
    </w:p>
    <w:p>
      <w:pPr>
        <w:pStyle w:val="5"/>
        <w:shd w:val="clear" w:color="auto" w:fill="FFFFFF"/>
        <w:spacing w:before="0" w:beforeAutospacing="0" w:after="0" w:afterAutospacing="0" w:line="480" w:lineRule="auto"/>
        <w:jc w:val="both"/>
        <w:rPr>
          <w:rFonts w:ascii="微软雅黑" w:hAnsi="微软雅黑" w:eastAsia="微软雅黑"/>
          <w:b/>
          <w:sz w:val="19"/>
          <w:szCs w:val="19"/>
        </w:rPr>
      </w:pPr>
      <w:r>
        <w:rPr>
          <w:rFonts w:hint="eastAsia" w:ascii="微软雅黑" w:hAnsi="微软雅黑" w:eastAsia="微软雅黑"/>
          <w:b/>
          <w:sz w:val="19"/>
          <w:szCs w:val="19"/>
        </w:rPr>
        <w:t>八、政府性基金预算收入支出决算情况</w:t>
      </w:r>
    </w:p>
    <w:p>
      <w:pPr>
        <w:pStyle w:val="5"/>
        <w:shd w:val="clear" w:color="auto" w:fill="FFFFFF"/>
        <w:spacing w:before="0" w:beforeAutospacing="0" w:after="0" w:afterAutospacing="0" w:line="480" w:lineRule="auto"/>
        <w:ind w:firstLine="480"/>
        <w:jc w:val="both"/>
        <w:rPr>
          <w:rFonts w:hint="eastAsia" w:ascii="微软雅黑" w:hAnsi="微软雅黑" w:eastAsia="微软雅黑"/>
          <w:sz w:val="19"/>
          <w:szCs w:val="19"/>
        </w:rPr>
      </w:pPr>
      <w:r>
        <w:rPr>
          <w:rFonts w:hint="eastAsia" w:ascii="微软雅黑" w:hAnsi="微软雅黑" w:eastAsia="微软雅黑"/>
          <w:sz w:val="19"/>
          <w:szCs w:val="19"/>
        </w:rPr>
        <w:t>本年度本单位无政府性基金收支。</w:t>
      </w:r>
    </w:p>
    <w:p>
      <w:pPr>
        <w:pStyle w:val="5"/>
        <w:shd w:val="clear" w:color="auto" w:fill="FFFFFF"/>
        <w:spacing w:before="0" w:beforeAutospacing="0" w:after="0" w:afterAutospacing="0" w:line="480" w:lineRule="auto"/>
        <w:jc w:val="both"/>
        <w:rPr>
          <w:rFonts w:hint="eastAsia" w:ascii="微软雅黑" w:hAnsi="微软雅黑" w:eastAsia="微软雅黑"/>
          <w:b/>
          <w:sz w:val="19"/>
          <w:szCs w:val="19"/>
        </w:rPr>
      </w:pPr>
      <w:r>
        <w:rPr>
          <w:rFonts w:hint="eastAsia" w:ascii="微软雅黑" w:hAnsi="微软雅黑" w:eastAsia="微软雅黑"/>
          <w:b/>
          <w:sz w:val="19"/>
          <w:szCs w:val="19"/>
        </w:rPr>
        <w:t>九、国有资本经营预算财政拨款支出决算情况</w:t>
      </w:r>
    </w:p>
    <w:p>
      <w:pPr>
        <w:pStyle w:val="5"/>
        <w:shd w:val="clear" w:color="auto" w:fill="FFFFFF"/>
        <w:spacing w:before="0" w:beforeAutospacing="0" w:after="0" w:afterAutospacing="0" w:line="480" w:lineRule="auto"/>
        <w:ind w:firstLine="380" w:firstLineChars="200"/>
        <w:jc w:val="both"/>
        <w:rPr>
          <w:rFonts w:hint="eastAsia" w:ascii="微软雅黑" w:hAnsi="微软雅黑" w:eastAsia="微软雅黑"/>
          <w:sz w:val="19"/>
          <w:szCs w:val="19"/>
          <w:lang w:eastAsia="zh-CN"/>
        </w:rPr>
      </w:pPr>
      <w:r>
        <w:rPr>
          <w:rFonts w:hint="eastAsia" w:ascii="微软雅黑" w:hAnsi="微软雅黑" w:eastAsia="微软雅黑"/>
          <w:b w:val="0"/>
          <w:bCs/>
          <w:sz w:val="19"/>
          <w:szCs w:val="19"/>
        </w:rPr>
        <w:t>2021年本单位没有使用国有资本经营预算安排的支出</w:t>
      </w:r>
      <w:r>
        <w:rPr>
          <w:rFonts w:hint="eastAsia" w:ascii="微软雅黑" w:hAnsi="微软雅黑" w:eastAsia="微软雅黑"/>
          <w:b w:val="0"/>
          <w:bCs/>
          <w:sz w:val="19"/>
          <w:szCs w:val="19"/>
          <w:lang w:eastAsia="zh-CN"/>
        </w:rPr>
        <w:t>。</w:t>
      </w:r>
    </w:p>
    <w:p>
      <w:pPr>
        <w:pStyle w:val="11"/>
        <w:rPr>
          <w:rFonts w:ascii="微软雅黑" w:hAnsi="微软雅黑" w:eastAsia="微软雅黑"/>
          <w:b/>
          <w:color w:val="auto"/>
          <w:sz w:val="19"/>
          <w:szCs w:val="19"/>
        </w:rPr>
      </w:pPr>
      <w:r>
        <w:rPr>
          <w:rFonts w:hint="eastAsia" w:ascii="微软雅黑" w:hAnsi="微软雅黑" w:eastAsia="微软雅黑"/>
          <w:b/>
          <w:color w:val="auto"/>
          <w:sz w:val="19"/>
          <w:szCs w:val="19"/>
          <w:lang w:val="en-US" w:eastAsia="zh-CN"/>
        </w:rPr>
        <w:t>十</w:t>
      </w:r>
      <w:r>
        <w:rPr>
          <w:rFonts w:hint="eastAsia" w:ascii="微软雅黑" w:hAnsi="微软雅黑" w:eastAsia="微软雅黑"/>
          <w:b/>
          <w:color w:val="auto"/>
          <w:sz w:val="19"/>
          <w:szCs w:val="19"/>
        </w:rPr>
        <w:t>、关于机关运行经费支出说明</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本部门2021年度机关运行经费支出223.56万元，比年初预算数减少24.64万元，降低11%。降低的主要原因是：大型维修在项目支出中列支。</w:t>
      </w:r>
    </w:p>
    <w:p>
      <w:pPr>
        <w:pStyle w:val="11"/>
        <w:rPr>
          <w:rFonts w:ascii="微软雅黑" w:hAnsi="微软雅黑" w:eastAsia="微软雅黑"/>
          <w:b/>
          <w:color w:val="auto"/>
          <w:sz w:val="19"/>
          <w:szCs w:val="19"/>
        </w:rPr>
      </w:pPr>
      <w:r>
        <w:rPr>
          <w:rFonts w:hint="eastAsia" w:ascii="微软雅黑" w:hAnsi="微软雅黑" w:eastAsia="微软雅黑"/>
          <w:b/>
          <w:color w:val="auto"/>
          <w:sz w:val="19"/>
          <w:szCs w:val="19"/>
        </w:rPr>
        <w:t>十</w:t>
      </w:r>
      <w:r>
        <w:rPr>
          <w:rFonts w:hint="eastAsia" w:ascii="微软雅黑" w:hAnsi="微软雅黑" w:eastAsia="微软雅黑"/>
          <w:b/>
          <w:color w:val="auto"/>
          <w:sz w:val="19"/>
          <w:szCs w:val="19"/>
          <w:lang w:val="en-US" w:eastAsia="zh-CN"/>
        </w:rPr>
        <w:t>一</w:t>
      </w:r>
      <w:r>
        <w:rPr>
          <w:rFonts w:hint="eastAsia" w:ascii="微软雅黑" w:hAnsi="微软雅黑" w:eastAsia="微软雅黑"/>
          <w:b/>
          <w:color w:val="auto"/>
          <w:sz w:val="19"/>
          <w:szCs w:val="19"/>
        </w:rPr>
        <w:t>、一般性支出情况</w:t>
      </w:r>
    </w:p>
    <w:p>
      <w:pPr>
        <w:pStyle w:val="5"/>
        <w:shd w:val="clear" w:color="auto" w:fill="FFFFFF"/>
        <w:tabs>
          <w:tab w:val="left" w:pos="2832"/>
        </w:tabs>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2021年本部门开支会议费0万元</w:t>
      </w:r>
      <w:r>
        <w:rPr>
          <w:rFonts w:hint="eastAsia" w:ascii="微软雅黑" w:hAnsi="微软雅黑" w:eastAsia="微软雅黑"/>
          <w:sz w:val="19"/>
          <w:szCs w:val="19"/>
          <w:lang w:eastAsia="zh-CN"/>
        </w:rPr>
        <w:t>，</w:t>
      </w:r>
      <w:r>
        <w:rPr>
          <w:rFonts w:hint="eastAsia" w:ascii="微软雅黑" w:hAnsi="微软雅黑" w:eastAsia="微软雅黑"/>
          <w:sz w:val="19"/>
          <w:szCs w:val="19"/>
        </w:rPr>
        <w:t>召开</w:t>
      </w:r>
      <w:r>
        <w:rPr>
          <w:rFonts w:hint="eastAsia" w:ascii="微软雅黑" w:hAnsi="微软雅黑" w:eastAsia="微软雅黑"/>
          <w:sz w:val="19"/>
          <w:szCs w:val="19"/>
          <w:lang w:val="en-US" w:eastAsia="zh-CN"/>
        </w:rPr>
        <w:t>0次会议</w:t>
      </w:r>
      <w:r>
        <w:rPr>
          <w:rFonts w:hint="eastAsia" w:ascii="微软雅黑" w:hAnsi="微软雅黑" w:eastAsia="微软雅黑"/>
          <w:sz w:val="19"/>
          <w:szCs w:val="19"/>
        </w:rPr>
        <w:t>，人数</w:t>
      </w:r>
      <w:r>
        <w:rPr>
          <w:rFonts w:hint="eastAsia" w:ascii="微软雅黑" w:hAnsi="微软雅黑" w:eastAsia="微软雅黑"/>
          <w:sz w:val="19"/>
          <w:szCs w:val="19"/>
          <w:lang w:val="en-US" w:eastAsia="zh-CN"/>
        </w:rPr>
        <w:t>0</w:t>
      </w:r>
      <w:r>
        <w:rPr>
          <w:rFonts w:hint="eastAsia" w:ascii="微软雅黑" w:hAnsi="微软雅黑" w:eastAsia="微软雅黑"/>
          <w:sz w:val="19"/>
          <w:szCs w:val="19"/>
        </w:rPr>
        <w:t xml:space="preserve"> 人，</w:t>
      </w:r>
      <w:r>
        <w:rPr>
          <w:rFonts w:hint="eastAsia" w:ascii="微软雅黑" w:hAnsi="微软雅黑" w:eastAsia="微软雅黑"/>
          <w:sz w:val="19"/>
          <w:szCs w:val="19"/>
          <w:lang w:val="en-US" w:eastAsia="zh-CN"/>
        </w:rPr>
        <w:t>无</w:t>
      </w:r>
      <w:r>
        <w:rPr>
          <w:rFonts w:hint="eastAsia" w:ascii="微软雅黑" w:hAnsi="微软雅黑" w:eastAsia="微软雅黑"/>
          <w:sz w:val="19"/>
          <w:szCs w:val="19"/>
        </w:rPr>
        <w:t>内容为；开支培训费10万元，用于开展业务学习培训，人数228人，内容为新教材培训，新高考培训及其他老师业务培训；举办学生艺术节，学生篮球赛等活动，开支15.8万元，主要是为了促进素质教育，提高学生素质，活跃校园文化生活。</w:t>
      </w:r>
    </w:p>
    <w:p>
      <w:pPr>
        <w:pStyle w:val="5"/>
        <w:shd w:val="clear" w:color="auto" w:fill="FFFFFF"/>
        <w:spacing w:before="0" w:beforeAutospacing="0" w:after="0" w:afterAutospacing="0" w:line="480" w:lineRule="auto"/>
        <w:jc w:val="both"/>
        <w:rPr>
          <w:rFonts w:ascii="微软雅黑" w:hAnsi="微软雅黑" w:eastAsia="微软雅黑"/>
          <w:b/>
          <w:sz w:val="19"/>
          <w:szCs w:val="19"/>
        </w:rPr>
      </w:pPr>
      <w:r>
        <w:rPr>
          <w:rFonts w:hint="eastAsia" w:ascii="微软雅黑" w:hAnsi="微软雅黑" w:eastAsia="微软雅黑"/>
          <w:b/>
          <w:sz w:val="19"/>
          <w:szCs w:val="19"/>
        </w:rPr>
        <w:t>十</w:t>
      </w:r>
      <w:r>
        <w:rPr>
          <w:rFonts w:hint="eastAsia" w:ascii="微软雅黑" w:hAnsi="微软雅黑" w:eastAsia="微软雅黑"/>
          <w:b/>
          <w:sz w:val="19"/>
          <w:szCs w:val="19"/>
          <w:lang w:val="en-US" w:eastAsia="zh-CN"/>
        </w:rPr>
        <w:t>二</w:t>
      </w:r>
      <w:r>
        <w:rPr>
          <w:rFonts w:hint="eastAsia" w:ascii="微软雅黑" w:hAnsi="微软雅黑" w:eastAsia="微软雅黑"/>
          <w:b/>
          <w:sz w:val="19"/>
          <w:szCs w:val="19"/>
        </w:rPr>
        <w:t>、政府采购情况</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本部门2021年度政府采购支出总额412.8万元，其中：政府采购货物支出412.8 万元、政府采购工程支出0万元、政府采购服务支出0万元。授予中小企业合同金额238.9万元，占政府采购支出总额的58%，其中：授予小微企业合同金额238.9万元，占政府采购支出总额的58%。</w:t>
      </w:r>
    </w:p>
    <w:p>
      <w:pPr>
        <w:pStyle w:val="5"/>
        <w:shd w:val="clear" w:color="auto" w:fill="FFFFFF"/>
        <w:spacing w:before="0" w:beforeAutospacing="0" w:after="0" w:afterAutospacing="0" w:line="480" w:lineRule="auto"/>
        <w:jc w:val="both"/>
        <w:rPr>
          <w:rFonts w:ascii="微软雅黑" w:hAnsi="微软雅黑" w:eastAsia="微软雅黑"/>
          <w:b/>
          <w:sz w:val="19"/>
          <w:szCs w:val="19"/>
        </w:rPr>
      </w:pPr>
      <w:r>
        <w:rPr>
          <w:rFonts w:hint="eastAsia" w:ascii="微软雅黑" w:hAnsi="微软雅黑" w:eastAsia="微软雅黑"/>
          <w:b/>
          <w:sz w:val="19"/>
          <w:szCs w:val="19"/>
        </w:rPr>
        <w:t>十</w:t>
      </w:r>
      <w:r>
        <w:rPr>
          <w:rFonts w:hint="eastAsia" w:ascii="微软雅黑" w:hAnsi="微软雅黑" w:eastAsia="微软雅黑"/>
          <w:b/>
          <w:sz w:val="19"/>
          <w:szCs w:val="19"/>
          <w:lang w:val="en-US" w:eastAsia="zh-CN"/>
        </w:rPr>
        <w:t>三</w:t>
      </w:r>
      <w:r>
        <w:rPr>
          <w:rFonts w:hint="eastAsia" w:ascii="微软雅黑" w:hAnsi="微软雅黑" w:eastAsia="微软雅黑"/>
          <w:b/>
          <w:sz w:val="19"/>
          <w:szCs w:val="19"/>
        </w:rPr>
        <w:t>、国有资产占有使用情况及新增资产配置情况</w:t>
      </w:r>
    </w:p>
    <w:p>
      <w:pPr>
        <w:pStyle w:val="5"/>
        <w:shd w:val="clear" w:color="auto" w:fill="FFFFFF"/>
        <w:spacing w:before="0" w:beforeAutospacing="0" w:after="0" w:afterAutospacing="0" w:line="480" w:lineRule="auto"/>
        <w:ind w:firstLine="380" w:firstLineChars="200"/>
        <w:jc w:val="both"/>
        <w:rPr>
          <w:rFonts w:ascii="微软雅黑" w:hAnsi="微软雅黑" w:eastAsia="微软雅黑"/>
          <w:sz w:val="19"/>
          <w:szCs w:val="19"/>
        </w:rPr>
      </w:pPr>
      <w:r>
        <w:rPr>
          <w:rFonts w:hint="eastAsia" w:ascii="微软雅黑" w:hAnsi="微软雅黑" w:eastAsia="微软雅黑"/>
          <w:sz w:val="19"/>
          <w:szCs w:val="19"/>
        </w:rPr>
        <w:t>截至2021年12月31日，本单位共有车辆0，其中，主要领导干部用车0辆，机要通信用车0辆、应急保障用车0辆、执法执勤用车0辆、特种专业技术用车0辆、其他用车0辆。单位价值50万元以上通用设备0台（套）；单位价值100万元以上专用设备0台（套）。</w:t>
      </w:r>
    </w:p>
    <w:p>
      <w:pPr>
        <w:pStyle w:val="11"/>
        <w:rPr>
          <w:rFonts w:ascii="微软雅黑" w:hAnsi="微软雅黑" w:eastAsia="微软雅黑"/>
          <w:b/>
          <w:color w:val="auto"/>
          <w:sz w:val="19"/>
          <w:szCs w:val="19"/>
        </w:rPr>
      </w:pPr>
      <w:r>
        <w:rPr>
          <w:rFonts w:hint="eastAsia" w:ascii="微软雅黑" w:hAnsi="微软雅黑" w:eastAsia="微软雅黑"/>
          <w:b/>
          <w:color w:val="auto"/>
          <w:sz w:val="19"/>
          <w:szCs w:val="19"/>
        </w:rPr>
        <w:t>十</w:t>
      </w:r>
      <w:r>
        <w:rPr>
          <w:rFonts w:hint="eastAsia" w:ascii="微软雅黑" w:hAnsi="微软雅黑" w:eastAsia="微软雅黑"/>
          <w:b/>
          <w:color w:val="auto"/>
          <w:sz w:val="19"/>
          <w:szCs w:val="19"/>
          <w:lang w:val="en-US" w:eastAsia="zh-CN"/>
        </w:rPr>
        <w:t>四</w:t>
      </w:r>
      <w:r>
        <w:rPr>
          <w:rFonts w:hint="eastAsia" w:ascii="微软雅黑" w:hAnsi="微软雅黑" w:eastAsia="微软雅黑"/>
          <w:b/>
          <w:color w:val="auto"/>
          <w:sz w:val="19"/>
          <w:szCs w:val="19"/>
        </w:rPr>
        <w:t>、2021年度预算绩效情况的说明</w:t>
      </w:r>
    </w:p>
    <w:p>
      <w:pPr>
        <w:pStyle w:val="11"/>
        <w:ind w:firstLine="380" w:firstLineChars="200"/>
        <w:rPr>
          <w:rFonts w:hint="eastAsia" w:ascii="微软雅黑" w:hAnsi="微软雅黑" w:eastAsia="微软雅黑"/>
          <w:sz w:val="19"/>
          <w:szCs w:val="19"/>
        </w:rPr>
      </w:pPr>
      <w:r>
        <w:rPr>
          <w:rFonts w:hint="eastAsia" w:ascii="微软雅黑" w:hAnsi="微软雅黑" w:eastAsia="微软雅黑"/>
          <w:sz w:val="19"/>
          <w:szCs w:val="19"/>
        </w:rPr>
        <w:t>根据《中共中央 国务院关于全面实施预算绩效管理的意见》（中发〔2018〕34号）、《中共湖南省委办公厅 湖南省人民政府办公厅关于全面实施预算绩效管理的实施意见（湘办发〔2019〕10号）文件精神，结合《益阳市财政局关于开展2021年度部门绩效自评工作的通知》要求，为进一步规范财政资金管理，强化绩效和责任意识，切实提高财政资金使用效益，我单位对2021年度部门整体支出、单位项目支出、重点（专项）项目支出进行了绩效自评。</w:t>
      </w:r>
    </w:p>
    <w:p>
      <w:pPr>
        <w:pStyle w:val="11"/>
        <w:ind w:firstLine="380" w:firstLineChars="200"/>
        <w:rPr>
          <w:rFonts w:hint="eastAsia" w:ascii="微软雅黑" w:hAnsi="微软雅黑" w:eastAsia="微软雅黑"/>
          <w:sz w:val="19"/>
          <w:szCs w:val="19"/>
        </w:rPr>
      </w:pPr>
      <w:r>
        <w:rPr>
          <w:rFonts w:hint="eastAsia" w:ascii="微软雅黑" w:hAnsi="微软雅黑" w:eastAsia="微软雅黑"/>
          <w:sz w:val="19"/>
          <w:szCs w:val="19"/>
        </w:rPr>
        <w:t>部门整体支出绩效自评得分96，评价等级为“优秀”；</w:t>
      </w:r>
    </w:p>
    <w:p>
      <w:pPr>
        <w:pStyle w:val="5"/>
        <w:shd w:val="clear" w:color="auto" w:fill="FFFFFF"/>
        <w:spacing w:before="0" w:beforeAutospacing="0" w:after="0" w:afterAutospacing="0" w:line="480" w:lineRule="auto"/>
        <w:ind w:firstLine="480"/>
        <w:jc w:val="both"/>
        <w:rPr>
          <w:rFonts w:ascii="微软雅黑" w:hAnsi="微软雅黑" w:eastAsia="微软雅黑"/>
          <w:sz w:val="19"/>
          <w:szCs w:val="19"/>
        </w:rPr>
      </w:pPr>
      <w:r>
        <w:rPr>
          <w:rFonts w:hint="eastAsia" w:ascii="微软雅黑" w:hAnsi="微软雅黑" w:eastAsia="微软雅黑"/>
          <w:sz w:val="19"/>
          <w:szCs w:val="19"/>
        </w:rPr>
        <w:t>第四部分名词解释</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一、财政拨款收入：</w:t>
      </w:r>
      <w:r>
        <w:rPr>
          <w:rFonts w:hint="eastAsia" w:ascii="微软雅黑" w:hAnsi="微软雅黑" w:eastAsia="微软雅黑" w:cs="黑体"/>
          <w:color w:val="000000"/>
          <w:kern w:val="0"/>
          <w:sz w:val="19"/>
          <w:szCs w:val="19"/>
        </w:rPr>
        <w:t xml:space="preserve">指中央财政当年拨付的资金。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二、事业收入：</w:t>
      </w:r>
      <w:r>
        <w:rPr>
          <w:rFonts w:hint="eastAsia" w:ascii="微软雅黑" w:hAnsi="微软雅黑" w:eastAsia="微软雅黑" w:cs="黑体"/>
          <w:color w:val="000000"/>
          <w:kern w:val="0"/>
          <w:sz w:val="19"/>
          <w:szCs w:val="19"/>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三、经营收入：</w:t>
      </w:r>
      <w:r>
        <w:rPr>
          <w:rFonts w:hint="eastAsia" w:ascii="微软雅黑" w:hAnsi="微软雅黑" w:eastAsia="微软雅黑" w:cs="黑体"/>
          <w:color w:val="000000"/>
          <w:kern w:val="0"/>
          <w:sz w:val="19"/>
          <w:szCs w:val="19"/>
        </w:rPr>
        <w:t xml:space="preserve">指事业单位在专业业务活动及其辅助活动之外开展非独立核算经营活动取得的收入。如：中国财政杂志社广告收入等。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四、其他收入：</w:t>
      </w:r>
      <w:r>
        <w:rPr>
          <w:rFonts w:hint="eastAsia" w:ascii="微软雅黑" w:hAnsi="微软雅黑" w:eastAsia="微软雅黑" w:cs="黑体"/>
          <w:color w:val="000000"/>
          <w:kern w:val="0"/>
          <w:sz w:val="19"/>
          <w:szCs w:val="19"/>
        </w:rPr>
        <w:t xml:space="preserve">指除上述“财政拨款收入” 、 “事业收入” 、“经营收入”等以外的收入。主要是按规定动用的售房收入、存款利息收入等。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五、用事业基金弥补收支差额：</w:t>
      </w:r>
      <w:r>
        <w:rPr>
          <w:rFonts w:hint="eastAsia" w:ascii="微软雅黑" w:hAnsi="微软雅黑" w:eastAsia="微软雅黑" w:cs="黑体"/>
          <w:color w:val="000000"/>
          <w:kern w:val="0"/>
          <w:sz w:val="19"/>
          <w:szCs w:val="19"/>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六、年初结转和结余：</w:t>
      </w:r>
      <w:r>
        <w:rPr>
          <w:rFonts w:hint="eastAsia" w:ascii="微软雅黑" w:hAnsi="微软雅黑" w:eastAsia="微软雅黑" w:cs="黑体"/>
          <w:color w:val="000000"/>
          <w:kern w:val="0"/>
          <w:sz w:val="19"/>
          <w:szCs w:val="19"/>
        </w:rPr>
        <w:t xml:space="preserve">指以前年度尚未完成、结转到本年按有关规定继续使用的资金。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七、结余分配：</w:t>
      </w:r>
      <w:r>
        <w:rPr>
          <w:rFonts w:hint="eastAsia" w:ascii="微软雅黑" w:hAnsi="微软雅黑" w:eastAsia="微软雅黑" w:cs="黑体"/>
          <w:color w:val="000000"/>
          <w:kern w:val="0"/>
          <w:sz w:val="19"/>
          <w:szCs w:val="19"/>
        </w:rPr>
        <w:t>指事业单位按规定提取的职工福利基金、事业基金和缴纳的所得税，以及建设单位按规定应交回的基本建设竣工项目结余资金。</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八、年末结转和结余：</w:t>
      </w:r>
      <w:r>
        <w:rPr>
          <w:rFonts w:hint="eastAsia" w:ascii="微软雅黑" w:hAnsi="微软雅黑" w:eastAsia="微软雅黑" w:cs="黑体"/>
          <w:color w:val="000000"/>
          <w:kern w:val="0"/>
          <w:sz w:val="19"/>
          <w:szCs w:val="19"/>
        </w:rPr>
        <w:t xml:space="preserve">指本年度或以前年度预算安排、因客观条件发生变化无法按原计划实施，需要延迟到以后年度按有关规定继续使用的资金。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九、基本支出：</w:t>
      </w:r>
      <w:r>
        <w:rPr>
          <w:rFonts w:hint="eastAsia" w:ascii="微软雅黑" w:hAnsi="微软雅黑" w:eastAsia="微软雅黑" w:cs="黑体"/>
          <w:color w:val="000000"/>
          <w:kern w:val="0"/>
          <w:sz w:val="19"/>
          <w:szCs w:val="19"/>
        </w:rPr>
        <w:t>指为保障机构正常运转、完成日常工</w:t>
      </w:r>
    </w:p>
    <w:p>
      <w:pPr>
        <w:jc w:val="left"/>
        <w:rPr>
          <w:rFonts w:hint="eastAsia" w:ascii="微软雅黑" w:hAnsi="微软雅黑" w:eastAsia="微软雅黑" w:cs="黑体"/>
          <w:color w:val="000000"/>
          <w:kern w:val="0"/>
          <w:sz w:val="19"/>
          <w:szCs w:val="19"/>
        </w:rPr>
      </w:pPr>
      <w:r>
        <w:rPr>
          <w:rFonts w:hint="eastAsia" w:ascii="微软雅黑" w:hAnsi="微软雅黑" w:eastAsia="微软雅黑" w:cs="黑体"/>
          <w:color w:val="000000"/>
          <w:kern w:val="0"/>
          <w:sz w:val="19"/>
          <w:szCs w:val="19"/>
        </w:rPr>
        <w:t xml:space="preserve">作任务而发生的人员支出和公用支出。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十、项目支出：</w:t>
      </w:r>
      <w:r>
        <w:rPr>
          <w:rFonts w:hint="eastAsia" w:ascii="微软雅黑" w:hAnsi="微软雅黑" w:eastAsia="微软雅黑" w:cs="黑体"/>
          <w:color w:val="000000"/>
          <w:kern w:val="0"/>
          <w:sz w:val="19"/>
          <w:szCs w:val="19"/>
        </w:rPr>
        <w:t xml:space="preserve">指在基本支出之外为完成特定行政任务和事业发展目标所发生的支出。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十一、经营支出：</w:t>
      </w:r>
      <w:r>
        <w:rPr>
          <w:rFonts w:hint="eastAsia" w:ascii="微软雅黑" w:hAnsi="微软雅黑" w:eastAsia="微软雅黑" w:cs="黑体"/>
          <w:color w:val="000000"/>
          <w:kern w:val="0"/>
          <w:sz w:val="19"/>
          <w:szCs w:val="19"/>
        </w:rPr>
        <w:t xml:space="preserve">指事业单位在专业业务活动及其辅助活动之外开展非独立核算经营活动发生的支出。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十二、“三公”经费：</w:t>
      </w:r>
      <w:r>
        <w:rPr>
          <w:rFonts w:hint="eastAsia" w:ascii="微软雅黑" w:hAnsi="微软雅黑" w:eastAsia="微软雅黑" w:cs="黑体"/>
          <w:color w:val="000000"/>
          <w:kern w:val="0"/>
          <w:sz w:val="19"/>
          <w:szCs w:val="19"/>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hint="eastAsia" w:ascii="微软雅黑" w:hAnsi="微软雅黑" w:eastAsia="微软雅黑" w:cs="黑体"/>
          <w:color w:val="000000"/>
          <w:kern w:val="0"/>
          <w:sz w:val="19"/>
          <w:szCs w:val="19"/>
        </w:rPr>
      </w:pPr>
      <w:r>
        <w:rPr>
          <w:rFonts w:hint="eastAsia" w:ascii="微软雅黑" w:hAnsi="微软雅黑" w:eastAsia="微软雅黑" w:cs="黑体"/>
          <w:b/>
          <w:bCs/>
          <w:color w:val="000000"/>
          <w:kern w:val="0"/>
          <w:sz w:val="19"/>
          <w:szCs w:val="19"/>
        </w:rPr>
        <w:t>十三、机关运行经费：</w:t>
      </w:r>
      <w:r>
        <w:rPr>
          <w:rFonts w:hint="eastAsia" w:ascii="微软雅黑" w:hAnsi="微软雅黑" w:eastAsia="微软雅黑" w:cs="黑体"/>
          <w:color w:val="000000"/>
          <w:kern w:val="0"/>
          <w:sz w:val="19"/>
          <w:szCs w:val="19"/>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5"/>
        <w:shd w:val="clear" w:color="auto" w:fill="FFFFFF"/>
        <w:spacing w:before="0" w:beforeAutospacing="0" w:after="0" w:afterAutospacing="0" w:line="480" w:lineRule="auto"/>
        <w:ind w:firstLine="480"/>
        <w:jc w:val="both"/>
        <w:rPr>
          <w:rFonts w:hint="default" w:ascii="微软雅黑" w:hAnsi="微软雅黑" w:eastAsia="微软雅黑"/>
          <w:b/>
          <w:sz w:val="19"/>
          <w:szCs w:val="19"/>
          <w:lang w:val="en-US" w:eastAsia="zh-CN"/>
        </w:rPr>
      </w:pPr>
      <w:r>
        <w:rPr>
          <w:rFonts w:hint="eastAsia" w:ascii="微软雅黑" w:hAnsi="微软雅黑" w:eastAsia="微软雅黑"/>
          <w:b/>
          <w:sz w:val="19"/>
          <w:szCs w:val="19"/>
          <w:lang w:val="en-US" w:eastAsia="zh-CN"/>
        </w:rPr>
        <w:t>第五部分附件</w:t>
      </w:r>
    </w:p>
    <w:p>
      <w:pPr>
        <w:pStyle w:val="11"/>
        <w:jc w:val="center"/>
        <w:rPr>
          <w:sz w:val="72"/>
          <w:szCs w:val="72"/>
        </w:rPr>
      </w:pPr>
      <w:bookmarkStart w:id="0" w:name="_GoBack"/>
      <w:bookmarkEnd w:id="0"/>
    </w:p>
    <w:p>
      <w:pPr>
        <w:pStyle w:val="5"/>
        <w:shd w:val="clear" w:color="auto" w:fill="FFFFFF"/>
        <w:spacing w:before="0" w:beforeAutospacing="0" w:after="0" w:afterAutospacing="0" w:line="480" w:lineRule="auto"/>
        <w:ind w:firstLine="48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hMDI0NzRiMjgzYjFkMmQ3MTU0YmIxOWMzZDM0ZTEifQ=="/>
  </w:docVars>
  <w:rsids>
    <w:rsidRoot w:val="00505F88"/>
    <w:rsid w:val="00074FA5"/>
    <w:rsid w:val="00085E39"/>
    <w:rsid w:val="000C4273"/>
    <w:rsid w:val="000D0917"/>
    <w:rsid w:val="000E207E"/>
    <w:rsid w:val="001874DD"/>
    <w:rsid w:val="001F11A9"/>
    <w:rsid w:val="00216B25"/>
    <w:rsid w:val="002554CD"/>
    <w:rsid w:val="00271B0A"/>
    <w:rsid w:val="0027690D"/>
    <w:rsid w:val="002C05EF"/>
    <w:rsid w:val="00352378"/>
    <w:rsid w:val="003A7C9D"/>
    <w:rsid w:val="003F0D83"/>
    <w:rsid w:val="004101E5"/>
    <w:rsid w:val="004906D6"/>
    <w:rsid w:val="004B7617"/>
    <w:rsid w:val="004C5E1D"/>
    <w:rsid w:val="004F0E58"/>
    <w:rsid w:val="00505F88"/>
    <w:rsid w:val="0056388D"/>
    <w:rsid w:val="00566A4D"/>
    <w:rsid w:val="005A3CE9"/>
    <w:rsid w:val="006056CB"/>
    <w:rsid w:val="00612DF8"/>
    <w:rsid w:val="006271E7"/>
    <w:rsid w:val="006405CB"/>
    <w:rsid w:val="00653C58"/>
    <w:rsid w:val="006C4D34"/>
    <w:rsid w:val="00707A39"/>
    <w:rsid w:val="0072525B"/>
    <w:rsid w:val="00732C25"/>
    <w:rsid w:val="00744B50"/>
    <w:rsid w:val="00780F3B"/>
    <w:rsid w:val="007C1178"/>
    <w:rsid w:val="007E4D15"/>
    <w:rsid w:val="0081302E"/>
    <w:rsid w:val="008C0C4A"/>
    <w:rsid w:val="00930291"/>
    <w:rsid w:val="009631EB"/>
    <w:rsid w:val="0097036C"/>
    <w:rsid w:val="009F6BA0"/>
    <w:rsid w:val="00A01A03"/>
    <w:rsid w:val="00A8358D"/>
    <w:rsid w:val="00A91561"/>
    <w:rsid w:val="00AA4EE9"/>
    <w:rsid w:val="00AC2774"/>
    <w:rsid w:val="00AD22B6"/>
    <w:rsid w:val="00AF4D3B"/>
    <w:rsid w:val="00B147D1"/>
    <w:rsid w:val="00B23756"/>
    <w:rsid w:val="00B44908"/>
    <w:rsid w:val="00B90203"/>
    <w:rsid w:val="00BA3538"/>
    <w:rsid w:val="00BD0FA6"/>
    <w:rsid w:val="00C51F0B"/>
    <w:rsid w:val="00CA5753"/>
    <w:rsid w:val="00D17C33"/>
    <w:rsid w:val="00D23A77"/>
    <w:rsid w:val="00D5020D"/>
    <w:rsid w:val="00D54817"/>
    <w:rsid w:val="00D71F75"/>
    <w:rsid w:val="00D73DEC"/>
    <w:rsid w:val="00D7558C"/>
    <w:rsid w:val="00D84D46"/>
    <w:rsid w:val="00D858AB"/>
    <w:rsid w:val="00D97416"/>
    <w:rsid w:val="00D97CA9"/>
    <w:rsid w:val="00DB076C"/>
    <w:rsid w:val="00E161B4"/>
    <w:rsid w:val="00E356D4"/>
    <w:rsid w:val="00E43B5F"/>
    <w:rsid w:val="00E7476B"/>
    <w:rsid w:val="00E761FA"/>
    <w:rsid w:val="00EC73C3"/>
    <w:rsid w:val="00F46ED0"/>
    <w:rsid w:val="00F947B5"/>
    <w:rsid w:val="00FC0E85"/>
    <w:rsid w:val="00FE2869"/>
    <w:rsid w:val="0BD726FC"/>
    <w:rsid w:val="325F15E9"/>
    <w:rsid w:val="69A620EC"/>
    <w:rsid w:val="6BF37AA8"/>
    <w:rsid w:val="72501BF8"/>
    <w:rsid w:val="7EA04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744</Words>
  <Characters>4244</Characters>
  <Lines>35</Lines>
  <Paragraphs>9</Paragraphs>
  <TotalTime>0</TotalTime>
  <ScaleCrop>false</ScaleCrop>
  <LinksUpToDate>false</LinksUpToDate>
  <CharactersWithSpaces>4979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2022-08-23T07:25:00Z</dcterms:created>
  <dc:creator>Administrator</dc:creator>
  <cp:lastModifiedBy>shmilyฅ( ̳• ·̫ • ̳) ～</cp:lastModifiedBy>
  <dcterms:modified xsi:type="dcterms:W3CDTF">2023-09-15T09:48:43Z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ED601397C34E4E5393DDA6A23912DD84_13</vt:lpwstr>
  </property>
</Properties>
</file>