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附件1：</w:t>
      </w:r>
    </w:p>
    <w:p>
      <w:pPr>
        <w:widowControl/>
        <w:spacing w:line="600" w:lineRule="exact"/>
        <w:jc w:val="lef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  <w:lang w:val="en-US" w:eastAsia="zh-CN"/>
        </w:rPr>
      </w:pPr>
      <w:r>
        <w:rPr>
          <w:rFonts w:eastAsia="方正小标宋_GBK"/>
          <w:bCs/>
          <w:kern w:val="0"/>
          <w:sz w:val="44"/>
          <w:szCs w:val="44"/>
        </w:rPr>
        <w:t xml:space="preserve"> 2022年</w:t>
      </w:r>
      <w:r>
        <w:rPr>
          <w:rFonts w:hint="eastAsia" w:eastAsia="方正小标宋_GBK"/>
          <w:bCs/>
          <w:kern w:val="0"/>
          <w:sz w:val="44"/>
          <w:szCs w:val="44"/>
        </w:rPr>
        <w:t>岳阳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县美术馆</w:t>
      </w:r>
      <w:r>
        <w:rPr>
          <w:rFonts w:eastAsia="方正小标宋_GBK"/>
          <w:bCs/>
          <w:kern w:val="0"/>
          <w:sz w:val="44"/>
          <w:szCs w:val="44"/>
        </w:rPr>
        <w:t>预算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公开</w:t>
      </w:r>
    </w:p>
    <w:p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36" w:firstLineChars="200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 xml:space="preserve">第一部分 </w:t>
      </w:r>
      <w:r>
        <w:rPr>
          <w:rFonts w:eastAsia="方正小标宋_GBK"/>
          <w:b/>
          <w:bCs/>
          <w:kern w:val="0"/>
          <w:sz w:val="32"/>
          <w:szCs w:val="32"/>
        </w:rPr>
        <w:t>2</w:t>
      </w:r>
      <w:r>
        <w:rPr>
          <w:rFonts w:eastAsia="仿宋_GB2312"/>
          <w:b/>
          <w:bCs/>
          <w:kern w:val="0"/>
          <w:sz w:val="32"/>
          <w:szCs w:val="32"/>
        </w:rPr>
        <w:t>022年部门预算说明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职能职责</w:t>
      </w:r>
    </w:p>
    <w:p>
      <w:pPr>
        <w:widowControl/>
        <w:numPr>
          <w:ilvl w:val="0"/>
          <w:numId w:val="2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机构设置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3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收入预算</w:t>
      </w:r>
    </w:p>
    <w:p>
      <w:pPr>
        <w:widowControl/>
        <w:numPr>
          <w:ilvl w:val="0"/>
          <w:numId w:val="3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支出预算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4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基本支出</w:t>
      </w:r>
    </w:p>
    <w:p>
      <w:pPr>
        <w:widowControl/>
        <w:numPr>
          <w:ilvl w:val="0"/>
          <w:numId w:val="4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项目支出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机关运行经费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“三公”经费预算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一般性支出情况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政府采购情况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国有资产占有使用情况及新增资产配置情况</w:t>
      </w:r>
    </w:p>
    <w:p>
      <w:pPr>
        <w:widowControl/>
        <w:numPr>
          <w:ilvl w:val="0"/>
          <w:numId w:val="5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预算绩效</w:t>
      </w:r>
      <w:r>
        <w:rPr>
          <w:rFonts w:hint="eastAsia" w:eastAsia="方正小标宋_GBK"/>
          <w:bCs/>
          <w:kern w:val="0"/>
          <w:sz w:val="32"/>
          <w:szCs w:val="32"/>
          <w:lang w:val="en-US" w:eastAsia="zh-CN"/>
        </w:rPr>
        <w:t>目标</w:t>
      </w:r>
      <w:r>
        <w:rPr>
          <w:rFonts w:hint="eastAsia" w:eastAsia="方正小标宋_GBK"/>
          <w:bCs/>
          <w:kern w:val="0"/>
          <w:sz w:val="32"/>
          <w:szCs w:val="32"/>
        </w:rPr>
        <w:t>说明</w:t>
      </w:r>
    </w:p>
    <w:p>
      <w:pPr>
        <w:widowControl/>
        <w:numPr>
          <w:ilvl w:val="0"/>
          <w:numId w:val="1"/>
        </w:numPr>
        <w:spacing w:line="600" w:lineRule="exact"/>
        <w:rPr>
          <w:rFonts w:eastAsia="方正小标宋_GBK"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2"/>
          <w:szCs w:val="32"/>
        </w:rPr>
        <w:t>名词解释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第二部分 2022年部门预算表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1、收支总表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2、收入总表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3、支出总表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4、支出预算分类汇总表（按政府预算经济分类）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5、支出预算分类汇总表（按部门预算经济分类）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6、财政拨款收支总表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7、一般公共预算支出表</w:t>
      </w:r>
    </w:p>
    <w:p>
      <w:pPr>
        <w:widowControl/>
        <w:spacing w:line="600" w:lineRule="exact"/>
        <w:ind w:firstLine="636" w:firstLineChars="20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8、一般公共预算基本支出表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、一般公共预算基本支出表-人员经费（工资福利支出）（按政府预算经济分类）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、一般公共预算基本支出表-人员经费（工资福利支出）（按部门预算经济分类）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、一般公共预算基本支出表-人员经费（对个人和家庭的补助）（按政府预算经济分类）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、一般公共预算基本支出表-人员经费（对个人和家庭的补助）（按部门预算经济分类）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、一般公共预算“三公”经费支出表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专项资金预算汇总表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其他项目支出绩效目标表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>
      <w:pPr>
        <w:widowControl/>
        <w:spacing w:line="600" w:lineRule="exact"/>
        <w:ind w:firstLine="636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>
      <w:pPr>
        <w:widowControl/>
        <w:spacing w:line="600" w:lineRule="exact"/>
        <w:ind w:firstLine="636" w:firstLineChars="200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2022年部门预算说明</w:t>
      </w:r>
    </w:p>
    <w:p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24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>
      <w:pPr>
        <w:widowControl/>
        <w:spacing w:line="600" w:lineRule="exact"/>
        <w:ind w:firstLine="624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</w:t>
      </w:r>
    </w:p>
    <w:p>
      <w:pPr>
        <w:widowControl/>
        <w:spacing w:line="600" w:lineRule="exact"/>
        <w:ind w:firstLine="545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kern w:val="0"/>
          <w:sz w:val="28"/>
          <w:szCs w:val="28"/>
          <w:lang w:val="en-US" w:eastAsia="zh-CN" w:bidi="ar-SA"/>
        </w:rPr>
        <w:t>负责征集，收藏和保管相关美术作品；负责美术作品的挖掘、制作、研究、开发和利用；负责美术作品的展览、推广；负责社会美学教育和人才的培养等。</w:t>
      </w:r>
    </w:p>
    <w:p>
      <w:pPr>
        <w:widowControl/>
        <w:spacing w:line="600" w:lineRule="exact"/>
        <w:ind w:firstLine="624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</w:t>
      </w:r>
      <w:bookmarkStart w:id="0" w:name="_GoBack"/>
      <w:bookmarkEnd w:id="0"/>
    </w:p>
    <w:p>
      <w:pPr>
        <w:pStyle w:val="6"/>
        <w:numPr>
          <w:ilvl w:val="0"/>
          <w:numId w:val="0"/>
        </w:numPr>
        <w:shd w:val="clear" w:color="auto" w:fill="FFFFFF"/>
        <w:spacing w:before="0" w:beforeAutospacing="0" w:after="0" w:afterAutospacing="0"/>
        <w:ind w:firstLine="278" w:firstLineChars="100"/>
        <w:rPr>
          <w:rFonts w:hint="eastAsia"/>
          <w:color w:val="555555"/>
          <w:sz w:val="28"/>
          <w:szCs w:val="28"/>
        </w:rPr>
      </w:pPr>
      <w:r>
        <w:rPr>
          <w:rFonts w:hint="eastAsia"/>
          <w:color w:val="555555"/>
          <w:sz w:val="28"/>
          <w:szCs w:val="28"/>
        </w:rPr>
        <w:t>岳阳县美术馆属于事业单位，在职在编人数2人，内设：办公室、财务室，本单位为二级预算单位，上级单位是文旅广电局。</w:t>
      </w:r>
    </w:p>
    <w:p>
      <w:pPr>
        <w:widowControl/>
        <w:spacing w:line="600" w:lineRule="exact"/>
        <w:ind w:firstLine="624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>
      <w:pPr>
        <w:widowControl/>
        <w:spacing w:line="600" w:lineRule="exact"/>
        <w:ind w:firstLine="636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本单位没有所属二级机构，因此本年度部门预算仅为本级部门预算。</w:t>
      </w:r>
    </w:p>
    <w:p>
      <w:pPr>
        <w:widowControl/>
        <w:spacing w:line="600" w:lineRule="exact"/>
        <w:ind w:firstLine="624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>
      <w:pPr>
        <w:widowControl/>
        <w:spacing w:line="600" w:lineRule="exact"/>
        <w:ind w:firstLine="624" w:firstLineChars="196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</w:t>
      </w:r>
    </w:p>
    <w:p>
      <w:pPr>
        <w:widowControl/>
        <w:spacing w:line="600" w:lineRule="exact"/>
        <w:ind w:firstLine="624" w:firstLineChars="196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包括一般公共预算等财政拨款收入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eastAsia="仿宋_GB2312"/>
          <w:sz w:val="32"/>
          <w:szCs w:val="32"/>
        </w:rPr>
        <w:t>2022年本部门收入预算</w:t>
      </w:r>
      <w:r>
        <w:rPr>
          <w:rFonts w:hint="eastAsia" w:eastAsia="仿宋_GB2312"/>
          <w:sz w:val="32"/>
          <w:szCs w:val="32"/>
          <w:lang w:val="en-US" w:eastAsia="zh-CN"/>
        </w:rPr>
        <w:t>22.39</w:t>
      </w:r>
      <w:r>
        <w:rPr>
          <w:rFonts w:eastAsia="仿宋_GB2312"/>
          <w:sz w:val="32"/>
          <w:szCs w:val="32"/>
        </w:rPr>
        <w:t>万元，其中，一般公共预算拨款</w:t>
      </w:r>
      <w:r>
        <w:rPr>
          <w:rFonts w:hint="eastAsia" w:eastAsia="仿宋_GB2312"/>
          <w:sz w:val="32"/>
          <w:szCs w:val="32"/>
          <w:lang w:val="en-US" w:eastAsia="zh-CN"/>
        </w:rPr>
        <w:t>22.39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，纳入一般公共预算管理的非税收入拨款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万元）</w:t>
      </w:r>
      <w:r>
        <w:rPr>
          <w:rFonts w:eastAsia="仿宋_GB2312"/>
          <w:sz w:val="32"/>
          <w:szCs w:val="32"/>
        </w:rPr>
        <w:t>。收入较去年增加</w:t>
      </w:r>
      <w:r>
        <w:rPr>
          <w:rFonts w:hint="eastAsia" w:eastAsia="仿宋_GB2312"/>
          <w:sz w:val="32"/>
          <w:szCs w:val="32"/>
          <w:lang w:val="en-US" w:eastAsia="zh-CN"/>
        </w:rPr>
        <w:t>0.87</w:t>
      </w:r>
      <w:r>
        <w:rPr>
          <w:rFonts w:eastAsia="仿宋_GB2312"/>
          <w:sz w:val="32"/>
          <w:szCs w:val="32"/>
        </w:rPr>
        <w:t>万元，主要</w:t>
      </w:r>
      <w:r>
        <w:rPr>
          <w:rFonts w:hint="eastAsia" w:eastAsia="仿宋_GB2312"/>
          <w:sz w:val="32"/>
          <w:szCs w:val="32"/>
        </w:rPr>
        <w:t>原因是</w:t>
      </w:r>
      <w:r>
        <w:rPr>
          <w:rFonts w:hint="eastAsia" w:eastAsia="仿宋_GB2312"/>
          <w:sz w:val="32"/>
          <w:szCs w:val="32"/>
          <w:lang w:val="en-US" w:eastAsia="zh-CN"/>
        </w:rPr>
        <w:t>人员经费增加。</w:t>
      </w:r>
    </w:p>
    <w:p>
      <w:pPr>
        <w:widowControl/>
        <w:spacing w:line="600" w:lineRule="exact"/>
        <w:ind w:firstLine="624" w:firstLineChars="196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</w:t>
      </w: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2022年本部门支出预算</w:t>
      </w:r>
      <w:r>
        <w:rPr>
          <w:rFonts w:hint="eastAsia" w:eastAsia="仿宋_GB2312"/>
          <w:sz w:val="32"/>
          <w:szCs w:val="32"/>
          <w:lang w:val="en-US" w:eastAsia="zh-CN"/>
        </w:rPr>
        <w:t>22.39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eastAsia="仿宋_GB2312"/>
          <w:sz w:val="32"/>
          <w:szCs w:val="32"/>
        </w:rPr>
        <w:t>文化旅游体育与传媒支出</w:t>
      </w:r>
      <w:r>
        <w:rPr>
          <w:rFonts w:hint="eastAsia" w:eastAsia="仿宋_GB2312"/>
          <w:sz w:val="32"/>
          <w:szCs w:val="32"/>
          <w:lang w:val="en-US" w:eastAsia="zh-CN"/>
        </w:rPr>
        <w:t>17.77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</w:rPr>
        <w:t>社会保障和就业</w:t>
      </w:r>
      <w:r>
        <w:rPr>
          <w:rFonts w:hint="eastAsia" w:eastAsia="仿宋_GB2312"/>
          <w:sz w:val="32"/>
          <w:szCs w:val="32"/>
          <w:lang w:val="en-US" w:eastAsia="zh-CN"/>
        </w:rPr>
        <w:t>2.09</w:t>
      </w:r>
      <w:r>
        <w:rPr>
          <w:rFonts w:hint="eastAsia" w:eastAsia="仿宋_GB2312"/>
          <w:sz w:val="32"/>
          <w:szCs w:val="32"/>
        </w:rPr>
        <w:t>万元，卫生健康支出</w:t>
      </w:r>
      <w:r>
        <w:rPr>
          <w:rFonts w:hint="eastAsia" w:eastAsia="仿宋_GB2312"/>
          <w:sz w:val="32"/>
          <w:szCs w:val="32"/>
          <w:lang w:val="en-US" w:eastAsia="zh-CN"/>
        </w:rPr>
        <w:t>1.05</w:t>
      </w:r>
      <w:r>
        <w:rPr>
          <w:rFonts w:hint="eastAsia" w:eastAsia="仿宋_GB2312"/>
          <w:sz w:val="32"/>
          <w:szCs w:val="32"/>
        </w:rPr>
        <w:t>万元，住房保障</w:t>
      </w:r>
      <w:r>
        <w:rPr>
          <w:rFonts w:hint="eastAsia" w:eastAsia="仿宋_GB2312"/>
          <w:sz w:val="32"/>
          <w:szCs w:val="32"/>
          <w:lang w:val="en-US" w:eastAsia="zh-CN"/>
        </w:rPr>
        <w:t>1.48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</w:rPr>
        <w:t>支出较去年增加</w:t>
      </w:r>
      <w:r>
        <w:rPr>
          <w:rFonts w:hint="eastAsia" w:eastAsia="仿宋_GB2312"/>
          <w:sz w:val="32"/>
          <w:szCs w:val="32"/>
          <w:lang w:val="en-US" w:eastAsia="zh-CN"/>
        </w:rPr>
        <w:t>0.87</w:t>
      </w:r>
      <w:r>
        <w:rPr>
          <w:rFonts w:hint="eastAsia" w:eastAsia="仿宋_GB2312"/>
          <w:sz w:val="32"/>
          <w:szCs w:val="32"/>
        </w:rPr>
        <w:t>万元，其中基本支出增加</w:t>
      </w:r>
      <w:r>
        <w:rPr>
          <w:rFonts w:hint="eastAsia" w:eastAsia="仿宋_GB2312"/>
          <w:sz w:val="32"/>
          <w:szCs w:val="32"/>
          <w:lang w:val="en-US" w:eastAsia="zh-CN"/>
        </w:rPr>
        <w:t>0.87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项目支出增加0万元。</w:t>
      </w:r>
    </w:p>
    <w:p>
      <w:pPr>
        <w:widowControl/>
        <w:spacing w:line="600" w:lineRule="exact"/>
        <w:ind w:firstLine="624" w:firstLineChars="196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其中基本支出较上年增加主要是由于</w:t>
      </w:r>
      <w:r>
        <w:rPr>
          <w:rFonts w:hint="eastAsia" w:eastAsia="仿宋_GB2312"/>
          <w:sz w:val="32"/>
          <w:szCs w:val="32"/>
          <w:lang w:val="en-US" w:eastAsia="zh-CN"/>
        </w:rPr>
        <w:t>人员经费</w:t>
      </w:r>
      <w:r>
        <w:rPr>
          <w:rFonts w:hint="eastAsia" w:eastAsia="仿宋_GB2312"/>
          <w:sz w:val="32"/>
          <w:szCs w:val="32"/>
        </w:rPr>
        <w:t>支出增加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2022年本部门一般公共预算拨款支出预算</w:t>
      </w:r>
      <w:r>
        <w:rPr>
          <w:rFonts w:hint="eastAsia" w:eastAsia="仿宋_GB2312"/>
          <w:sz w:val="32"/>
          <w:szCs w:val="32"/>
          <w:lang w:val="en-US" w:eastAsia="zh-CN"/>
        </w:rPr>
        <w:t>22.39</w:t>
      </w:r>
      <w:r>
        <w:rPr>
          <w:rFonts w:eastAsia="仿宋_GB2312"/>
          <w:sz w:val="32"/>
          <w:szCs w:val="32"/>
        </w:rPr>
        <w:t>万元，其中，一般公共服务支出</w:t>
      </w:r>
      <w:r>
        <w:rPr>
          <w:rFonts w:hint="eastAsia" w:eastAsia="仿宋_GB2312"/>
          <w:sz w:val="32"/>
          <w:szCs w:val="32"/>
          <w:lang w:val="en-US" w:eastAsia="zh-CN"/>
        </w:rPr>
        <w:t>17.77</w:t>
      </w:r>
      <w:r>
        <w:rPr>
          <w:rFonts w:eastAsia="仿宋_GB2312"/>
          <w:sz w:val="32"/>
          <w:szCs w:val="32"/>
        </w:rPr>
        <w:t>万元，占</w:t>
      </w:r>
      <w:r>
        <w:rPr>
          <w:rFonts w:hint="eastAsia" w:eastAsia="仿宋_GB2312"/>
          <w:sz w:val="32"/>
          <w:szCs w:val="32"/>
          <w:lang w:val="en-US" w:eastAsia="zh-CN"/>
        </w:rPr>
        <w:t>79</w:t>
      </w:r>
      <w:r>
        <w:rPr>
          <w:rFonts w:hint="eastAsia" w:eastAsia="仿宋_GB2312"/>
          <w:sz w:val="32"/>
          <w:szCs w:val="32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社会保障和就业</w:t>
      </w:r>
      <w:r>
        <w:rPr>
          <w:rFonts w:hint="eastAsia" w:eastAsia="仿宋_GB2312"/>
          <w:sz w:val="32"/>
          <w:szCs w:val="32"/>
          <w:lang w:val="en-US" w:eastAsia="zh-CN"/>
        </w:rPr>
        <w:t>2.09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卫生健康支出</w:t>
      </w:r>
      <w:r>
        <w:rPr>
          <w:rFonts w:hint="eastAsia" w:eastAsia="仿宋_GB2312"/>
          <w:sz w:val="32"/>
          <w:szCs w:val="32"/>
          <w:lang w:val="en-US" w:eastAsia="zh-CN"/>
        </w:rPr>
        <w:t>1.05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住房保障</w:t>
      </w:r>
      <w:r>
        <w:rPr>
          <w:rFonts w:hint="eastAsia" w:eastAsia="仿宋_GB2312"/>
          <w:sz w:val="32"/>
          <w:szCs w:val="32"/>
          <w:lang w:val="en-US" w:eastAsia="zh-CN"/>
        </w:rPr>
        <w:t>1.48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eastAsia"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eastAsia="仿宋_GB2312"/>
          <w:sz w:val="32"/>
          <w:szCs w:val="32"/>
        </w:rPr>
        <w:t>具体安排情况如下：</w:t>
      </w:r>
    </w:p>
    <w:p>
      <w:pPr>
        <w:widowControl/>
        <w:numPr>
          <w:ilvl w:val="0"/>
          <w:numId w:val="6"/>
        </w:numPr>
        <w:spacing w:line="600" w:lineRule="exact"/>
        <w:ind w:firstLine="66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基本支出</w:t>
      </w:r>
    </w:p>
    <w:p>
      <w:pPr>
        <w:widowControl/>
        <w:numPr>
          <w:numId w:val="0"/>
        </w:numPr>
        <w:spacing w:line="600" w:lineRule="exact"/>
        <w:ind w:firstLine="636" w:firstLineChars="200"/>
        <w:jc w:val="left"/>
        <w:rPr>
          <w:rFonts w:eastAsia="黑体"/>
          <w:sz w:val="32"/>
          <w:szCs w:val="32"/>
        </w:rPr>
      </w:pPr>
      <w:r>
        <w:rPr>
          <w:rFonts w:eastAsia="仿宋_GB2312"/>
          <w:sz w:val="32"/>
          <w:szCs w:val="32"/>
        </w:rPr>
        <w:t>2022年本部门基本支出预算数</w:t>
      </w:r>
      <w:r>
        <w:rPr>
          <w:rFonts w:hint="eastAsia" w:eastAsia="仿宋_GB2312"/>
          <w:sz w:val="32"/>
          <w:szCs w:val="32"/>
          <w:lang w:val="en-US" w:eastAsia="zh-CN"/>
        </w:rPr>
        <w:t>22.39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</w:t>
      </w:r>
      <w:r>
        <w:rPr>
          <w:rFonts w:hint="eastAsia" w:eastAsia="仿宋_GB2312"/>
          <w:sz w:val="32"/>
          <w:szCs w:val="32"/>
        </w:rPr>
        <w:t>，其中：工资福利支出</w:t>
      </w:r>
      <w:r>
        <w:rPr>
          <w:rFonts w:hint="eastAsia" w:eastAsia="仿宋_GB2312"/>
          <w:sz w:val="32"/>
          <w:szCs w:val="32"/>
          <w:lang w:val="en-US" w:eastAsia="zh-CN"/>
        </w:rPr>
        <w:t>21.31</w:t>
      </w:r>
      <w:r>
        <w:rPr>
          <w:rFonts w:hint="eastAsia" w:eastAsia="仿宋_GB2312"/>
          <w:sz w:val="32"/>
          <w:szCs w:val="32"/>
        </w:rPr>
        <w:t>万元、一般商品和服务支出</w:t>
      </w:r>
      <w:r>
        <w:rPr>
          <w:rFonts w:hint="eastAsia" w:eastAsia="仿宋_GB2312"/>
          <w:sz w:val="32"/>
          <w:szCs w:val="32"/>
          <w:lang w:val="en-US" w:eastAsia="zh-CN"/>
        </w:rPr>
        <w:t>1.08</w:t>
      </w:r>
      <w:r>
        <w:rPr>
          <w:rFonts w:hint="eastAsia" w:eastAsia="仿宋_GB2312"/>
          <w:sz w:val="32"/>
          <w:szCs w:val="32"/>
        </w:rPr>
        <w:t>万元、对个人和家庭的补助支出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jc w:val="left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eastAsia="楷体_GB2312"/>
          <w:b/>
          <w:sz w:val="32"/>
          <w:szCs w:val="32"/>
        </w:rPr>
        <w:t>（二）项目支出</w:t>
      </w:r>
    </w:p>
    <w:p>
      <w:pPr>
        <w:widowControl/>
        <w:spacing w:line="600" w:lineRule="exact"/>
        <w:ind w:firstLine="636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本年度</w:t>
      </w:r>
      <w:r>
        <w:rPr>
          <w:rFonts w:hint="eastAsia" w:eastAsia="仿宋_GB2312"/>
          <w:sz w:val="32"/>
          <w:szCs w:val="32"/>
          <w:lang w:val="en-US" w:eastAsia="zh-CN"/>
        </w:rPr>
        <w:t>本部门无项目支出安排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政府性基金预算支出</w:t>
      </w:r>
    </w:p>
    <w:p>
      <w:pPr>
        <w:widowControl/>
        <w:spacing w:line="600" w:lineRule="exact"/>
        <w:ind w:firstLine="636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本年度政府采购预算总额0万元，其中工程类0万元，货物类0万元，服务类0万元。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36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</w:t>
      </w:r>
    </w:p>
    <w:p>
      <w:pPr>
        <w:widowControl/>
        <w:spacing w:line="600" w:lineRule="exact"/>
        <w:ind w:firstLine="636" w:firstLineChars="200"/>
        <w:rPr>
          <w:rFonts w:hint="eastAsia"/>
          <w:color w:val="333333"/>
          <w:sz w:val="28"/>
          <w:szCs w:val="28"/>
          <w:shd w:val="clear" w:color="auto" w:fill="FFFFFF"/>
        </w:rPr>
      </w:pPr>
      <w:r>
        <w:rPr>
          <w:rFonts w:hint="eastAsia" w:eastAsia="仿宋_GB2312"/>
          <w:sz w:val="32"/>
          <w:szCs w:val="32"/>
        </w:rPr>
        <w:t>本年度机关运行经费当年一般公共预算拨款</w:t>
      </w:r>
      <w:r>
        <w:rPr>
          <w:rFonts w:hint="eastAsia" w:eastAsia="仿宋_GB2312"/>
          <w:sz w:val="32"/>
          <w:szCs w:val="32"/>
          <w:lang w:val="en-US" w:eastAsia="zh-CN"/>
        </w:rPr>
        <w:t>1.08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比上年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减少0.66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万</w:t>
      </w:r>
      <w:r>
        <w:rPr>
          <w:rFonts w:hint="eastAsia"/>
          <w:color w:val="333333"/>
          <w:sz w:val="28"/>
          <w:szCs w:val="28"/>
          <w:shd w:val="clear" w:color="auto" w:fill="FFFFFF"/>
        </w:rPr>
        <w:t>元，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减少38</w:t>
      </w:r>
      <w:r>
        <w:rPr>
          <w:rFonts w:hint="eastAsia"/>
          <w:color w:val="333333"/>
          <w:sz w:val="28"/>
          <w:szCs w:val="28"/>
          <w:shd w:val="clear" w:color="auto" w:fill="FFFFFF"/>
        </w:rPr>
        <w:t>%</w:t>
      </w:r>
      <w:r>
        <w:rPr>
          <w:rFonts w:hint="eastAsia"/>
          <w:color w:val="333333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/>
          <w:color w:val="333333"/>
          <w:sz w:val="28"/>
          <w:szCs w:val="28"/>
          <w:shd w:val="clear" w:color="auto" w:fill="FFFFFF"/>
          <w:lang w:val="en-US" w:eastAsia="zh-CN"/>
        </w:rPr>
        <w:t>减少原因是压缩了公用经费</w:t>
      </w:r>
      <w:r>
        <w:rPr>
          <w:rFonts w:hint="eastAsia"/>
          <w:color w:val="333333"/>
          <w:sz w:val="28"/>
          <w:szCs w:val="28"/>
          <w:shd w:val="clear" w:color="auto" w:fill="FFFFFF"/>
        </w:rPr>
        <w:t>。</w:t>
      </w:r>
    </w:p>
    <w:p>
      <w:pPr>
        <w:widowControl/>
        <w:spacing w:line="600" w:lineRule="exact"/>
        <w:ind w:firstLine="66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（二）“三公”经费预算</w:t>
      </w:r>
    </w:p>
    <w:p>
      <w:pPr>
        <w:widowControl/>
        <w:spacing w:line="600" w:lineRule="exact"/>
        <w:ind w:firstLine="660"/>
        <w:jc w:val="left"/>
        <w:rPr>
          <w:rFonts w:hint="default" w:eastAsia="仿宋_GB2312"/>
          <w:sz w:val="32"/>
          <w:szCs w:val="32"/>
          <w:lang w:val="en-US"/>
        </w:rPr>
      </w:pPr>
      <w:r>
        <w:rPr>
          <w:rFonts w:hint="eastAsia" w:eastAsia="仿宋_GB2312"/>
          <w:sz w:val="32"/>
          <w:szCs w:val="32"/>
        </w:rPr>
        <w:t>本年度“三公”经费预算数</w:t>
      </w:r>
      <w:r>
        <w:rPr>
          <w:rFonts w:hint="eastAsia" w:eastAsia="仿宋_GB2312"/>
          <w:sz w:val="32"/>
          <w:szCs w:val="32"/>
          <w:lang w:val="en-US" w:eastAsia="zh-CN"/>
        </w:rPr>
        <w:t>0.1</w:t>
      </w:r>
      <w:r>
        <w:rPr>
          <w:rFonts w:hint="eastAsia" w:eastAsia="仿宋_GB2312"/>
          <w:sz w:val="32"/>
          <w:szCs w:val="32"/>
        </w:rPr>
        <w:t>万元，其中，公务接待费</w:t>
      </w:r>
      <w:r>
        <w:rPr>
          <w:rFonts w:hint="eastAsia" w:eastAsia="仿宋_GB2312"/>
          <w:sz w:val="32"/>
          <w:szCs w:val="32"/>
          <w:lang w:val="en-US" w:eastAsia="zh-CN"/>
        </w:rPr>
        <w:t>0.1</w:t>
      </w:r>
      <w:r>
        <w:rPr>
          <w:rFonts w:hint="eastAsia" w:eastAsia="仿宋_GB2312"/>
          <w:sz w:val="32"/>
          <w:szCs w:val="32"/>
        </w:rPr>
        <w:t>万元，因公出国（境）费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万元，公务用车购置及运行费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万元（其中，公务用车购置费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万元，公务用车运行费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万元）。</w:t>
      </w:r>
      <w:r>
        <w:rPr>
          <w:rFonts w:hint="eastAsia" w:eastAsia="仿宋_GB2312"/>
          <w:sz w:val="32"/>
          <w:szCs w:val="32"/>
          <w:lang w:val="en-US" w:eastAsia="zh-CN"/>
        </w:rPr>
        <w:t>三公经费预算与上年持平，主要原因为历行节俭。</w:t>
      </w:r>
    </w:p>
    <w:p>
      <w:pPr>
        <w:widowControl/>
        <w:spacing w:line="600" w:lineRule="exact"/>
        <w:ind w:firstLine="66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2022年本部门会议费预算0万元，未拟召开会议，人数0人，无内容；培训费预算0万元，未拟开展培训，人数0人，无内容；未拟举办节庆、晚会、论坛、赛事活动，经费预算0万元。</w:t>
      </w:r>
    </w:p>
    <w:p>
      <w:pPr>
        <w:widowControl/>
        <w:spacing w:line="600" w:lineRule="exact"/>
        <w:ind w:firstLine="66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本年度政府采购预算总额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万元，其中工程类</w:t>
      </w:r>
      <w:r>
        <w:rPr>
          <w:rFonts w:hint="eastAsia" w:eastAsia="仿宋_GB2312"/>
          <w:sz w:val="32"/>
          <w:szCs w:val="32"/>
          <w:lang w:val="en-US" w:eastAsia="zh-CN"/>
        </w:rPr>
        <w:t>采购预算0</w:t>
      </w:r>
      <w:r>
        <w:rPr>
          <w:rFonts w:hint="eastAsia" w:eastAsia="仿宋_GB2312"/>
          <w:sz w:val="32"/>
          <w:szCs w:val="32"/>
        </w:rPr>
        <w:t>万元，货物类</w:t>
      </w:r>
      <w:r>
        <w:rPr>
          <w:rFonts w:hint="eastAsia" w:eastAsia="仿宋_GB2312"/>
          <w:sz w:val="32"/>
          <w:szCs w:val="32"/>
          <w:lang w:val="en-US" w:eastAsia="zh-CN"/>
        </w:rPr>
        <w:t>采购预算0</w:t>
      </w:r>
      <w:r>
        <w:rPr>
          <w:rFonts w:hint="eastAsia" w:eastAsia="仿宋_GB2312"/>
          <w:sz w:val="32"/>
          <w:szCs w:val="32"/>
        </w:rPr>
        <w:t>万元，服务类</w:t>
      </w:r>
      <w:r>
        <w:rPr>
          <w:rFonts w:hint="eastAsia" w:eastAsia="仿宋_GB2312"/>
          <w:sz w:val="32"/>
          <w:szCs w:val="32"/>
          <w:lang w:val="en-US" w:eastAsia="zh-CN"/>
        </w:rPr>
        <w:t>采购预算0</w:t>
      </w:r>
      <w:r>
        <w:rPr>
          <w:rFonts w:hint="eastAsia" w:eastAsia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截至</w:t>
      </w:r>
      <w:r>
        <w:rPr>
          <w:rFonts w:hint="eastAsia" w:eastAsia="仿宋_GB2312"/>
          <w:sz w:val="32"/>
          <w:szCs w:val="32"/>
          <w:lang w:val="en-US" w:eastAsia="zh-CN"/>
        </w:rPr>
        <w:t>2021年</w:t>
      </w:r>
      <w:r>
        <w:rPr>
          <w:rFonts w:hint="eastAsia" w:eastAsia="仿宋_GB2312"/>
          <w:sz w:val="32"/>
          <w:szCs w:val="32"/>
        </w:rPr>
        <w:t>12月底，本部门共有车辆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辆，其中领导干部用车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辆，一般公务用车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辆，其他用车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辆。单位价值50万元以上通用设备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台，单位价值100万元以上专用设备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台。本年度拟新增配置车辆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辆，其中领导干部用车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辆，一般公务用车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辆，其他用车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辆，资金来源为。新增配备单位价值50万元以上通用设备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台，单位价值100万元以上专用设备</w:t>
      </w:r>
      <w:r>
        <w:rPr>
          <w:rFonts w:hint="eastAsia" w:eastAsia="仿宋_GB2312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台。</w:t>
      </w:r>
    </w:p>
    <w:p>
      <w:pPr>
        <w:widowControl/>
        <w:spacing w:line="600" w:lineRule="exact"/>
        <w:ind w:firstLine="660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</w:t>
      </w:r>
    </w:p>
    <w:p>
      <w:pPr>
        <w:widowControl/>
        <w:spacing w:line="600" w:lineRule="exact"/>
        <w:ind w:firstLine="660"/>
        <w:rPr>
          <w:rFonts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本部门所有支出实行绩效目标管理。纳入2022年部门整体支出绩效目标的金额为22.39万元，其中，基本支出22.39万元，项目支出0万元</w:t>
      </w:r>
      <w:r>
        <w:rPr>
          <w:rFonts w:hint="eastAsia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eastAsia="仿宋_GB2312"/>
          <w:bCs/>
          <w:kern w:val="0"/>
          <w:sz w:val="32"/>
          <w:szCs w:val="32"/>
        </w:rPr>
        <w:t>具体绩效目标详见报表。</w:t>
      </w:r>
    </w:p>
    <w:p>
      <w:pPr>
        <w:widowControl/>
        <w:spacing w:line="600" w:lineRule="exact"/>
        <w:ind w:firstLine="318" w:firstLineChars="1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第二部分 2022年部门预算表</w:t>
      </w: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附表：岳阳县</w:t>
      </w:r>
      <w:r>
        <w:rPr>
          <w:rFonts w:hint="eastAsia" w:eastAsia="仿宋_GB2312"/>
          <w:sz w:val="32"/>
          <w:szCs w:val="32"/>
          <w:lang w:val="en-US" w:eastAsia="zh-CN"/>
        </w:rPr>
        <w:t>美术馆</w:t>
      </w:r>
      <w:r>
        <w:rPr>
          <w:rFonts w:hint="eastAsia" w:eastAsia="仿宋_GB2312"/>
          <w:sz w:val="32"/>
          <w:szCs w:val="32"/>
        </w:rPr>
        <w:t>预算公开表（请在此处以附件形式上传）</w:t>
      </w:r>
    </w:p>
    <w:p>
      <w:pPr>
        <w:widowControl/>
        <w:spacing w:line="600" w:lineRule="exact"/>
        <w:ind w:firstLine="716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widowControl/>
        <w:spacing w:line="600" w:lineRule="exact"/>
        <w:ind w:firstLine="636" w:firstLineChars="200"/>
        <w:jc w:val="left"/>
        <w:rPr>
          <w:rFonts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7" w:h="16840"/>
      <w:pgMar w:top="1134" w:right="1797" w:bottom="1304" w:left="1797" w:header="851" w:footer="992" w:gutter="0"/>
      <w:cols w:space="720" w:num="1"/>
      <w:docGrid w:type="linesAndChars" w:linePitch="495" w:charSpace="-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14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10767"/>
    <w:multiLevelType w:val="singleLevel"/>
    <w:tmpl w:val="DFA1076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7C378B4"/>
    <w:multiLevelType w:val="multilevel"/>
    <w:tmpl w:val="07C378B4"/>
    <w:lvl w:ilvl="0" w:tentative="0">
      <w:start w:val="1"/>
      <w:numFmt w:val="japaneseCounting"/>
      <w:lvlText w:val="（%1）"/>
      <w:lvlJc w:val="left"/>
      <w:pPr>
        <w:ind w:left="1714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abstractNum w:abstractNumId="2">
    <w:nsid w:val="1185520E"/>
    <w:multiLevelType w:val="multilevel"/>
    <w:tmpl w:val="1185520E"/>
    <w:lvl w:ilvl="0" w:tentative="0">
      <w:start w:val="1"/>
      <w:numFmt w:val="japaneseCounting"/>
      <w:lvlText w:val="（%1）"/>
      <w:lvlJc w:val="left"/>
      <w:pPr>
        <w:ind w:left="1714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abstractNum w:abstractNumId="3">
    <w:nsid w:val="28021EF8"/>
    <w:multiLevelType w:val="multilevel"/>
    <w:tmpl w:val="28021EF8"/>
    <w:lvl w:ilvl="0" w:tentative="0">
      <w:start w:val="1"/>
      <w:numFmt w:val="japaneseCounting"/>
      <w:lvlText w:val="（%1）"/>
      <w:lvlJc w:val="left"/>
      <w:pPr>
        <w:ind w:left="1714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abstractNum w:abstractNumId="4">
    <w:nsid w:val="39F23F1A"/>
    <w:multiLevelType w:val="multilevel"/>
    <w:tmpl w:val="39F23F1A"/>
    <w:lvl w:ilvl="0" w:tentative="0">
      <w:start w:val="1"/>
      <w:numFmt w:val="japaneseCounting"/>
      <w:lvlText w:val="%1、"/>
      <w:lvlJc w:val="left"/>
      <w:pPr>
        <w:ind w:left="135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abstractNum w:abstractNumId="5">
    <w:nsid w:val="41B61A22"/>
    <w:multiLevelType w:val="multilevel"/>
    <w:tmpl w:val="41B61A22"/>
    <w:lvl w:ilvl="0" w:tentative="0">
      <w:start w:val="1"/>
      <w:numFmt w:val="japaneseCounting"/>
      <w:lvlText w:val="（%1）"/>
      <w:lvlJc w:val="left"/>
      <w:pPr>
        <w:ind w:left="1714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4" w:hanging="420"/>
      </w:pPr>
    </w:lvl>
    <w:lvl w:ilvl="2" w:tentative="0">
      <w:start w:val="1"/>
      <w:numFmt w:val="lowerRoman"/>
      <w:lvlText w:val="%3."/>
      <w:lvlJc w:val="right"/>
      <w:pPr>
        <w:ind w:left="1894" w:hanging="420"/>
      </w:pPr>
    </w:lvl>
    <w:lvl w:ilvl="3" w:tentative="0">
      <w:start w:val="1"/>
      <w:numFmt w:val="decimal"/>
      <w:lvlText w:val="%4."/>
      <w:lvlJc w:val="left"/>
      <w:pPr>
        <w:ind w:left="2314" w:hanging="420"/>
      </w:pPr>
    </w:lvl>
    <w:lvl w:ilvl="4" w:tentative="0">
      <w:start w:val="1"/>
      <w:numFmt w:val="lowerLetter"/>
      <w:lvlText w:val="%5)"/>
      <w:lvlJc w:val="left"/>
      <w:pPr>
        <w:ind w:left="2734" w:hanging="420"/>
      </w:pPr>
    </w:lvl>
    <w:lvl w:ilvl="5" w:tentative="0">
      <w:start w:val="1"/>
      <w:numFmt w:val="lowerRoman"/>
      <w:lvlText w:val="%6."/>
      <w:lvlJc w:val="right"/>
      <w:pPr>
        <w:ind w:left="3154" w:hanging="420"/>
      </w:pPr>
    </w:lvl>
    <w:lvl w:ilvl="6" w:tentative="0">
      <w:start w:val="1"/>
      <w:numFmt w:val="decimal"/>
      <w:lvlText w:val="%7."/>
      <w:lvlJc w:val="left"/>
      <w:pPr>
        <w:ind w:left="3574" w:hanging="420"/>
      </w:pPr>
    </w:lvl>
    <w:lvl w:ilvl="7" w:tentative="0">
      <w:start w:val="1"/>
      <w:numFmt w:val="lowerLetter"/>
      <w:lvlText w:val="%8)"/>
      <w:lvlJc w:val="left"/>
      <w:pPr>
        <w:ind w:left="3994" w:hanging="420"/>
      </w:pPr>
    </w:lvl>
    <w:lvl w:ilvl="8" w:tentative="0">
      <w:start w:val="1"/>
      <w:numFmt w:val="lowerRoman"/>
      <w:lvlText w:val="%9."/>
      <w:lvlJc w:val="right"/>
      <w:pPr>
        <w:ind w:left="4414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hZTc3YTdmNjEzNDk1NmU5NjM3MzcxMTcxMzdlMjgifQ=="/>
  </w:docVars>
  <w:rsids>
    <w:rsidRoot w:val="00F947F0"/>
    <w:rsid w:val="00001712"/>
    <w:rsid w:val="000153CF"/>
    <w:rsid w:val="000460C6"/>
    <w:rsid w:val="00053CAC"/>
    <w:rsid w:val="0005772A"/>
    <w:rsid w:val="00092386"/>
    <w:rsid w:val="00095420"/>
    <w:rsid w:val="000C169D"/>
    <w:rsid w:val="000C34A8"/>
    <w:rsid w:val="000E4464"/>
    <w:rsid w:val="000E7E83"/>
    <w:rsid w:val="000F122D"/>
    <w:rsid w:val="000F1AE6"/>
    <w:rsid w:val="0011067B"/>
    <w:rsid w:val="00112564"/>
    <w:rsid w:val="0012612A"/>
    <w:rsid w:val="001277DB"/>
    <w:rsid w:val="0014469F"/>
    <w:rsid w:val="00151067"/>
    <w:rsid w:val="00194281"/>
    <w:rsid w:val="001A722D"/>
    <w:rsid w:val="001B1568"/>
    <w:rsid w:val="001B2201"/>
    <w:rsid w:val="001B40A6"/>
    <w:rsid w:val="001D5D9C"/>
    <w:rsid w:val="00202517"/>
    <w:rsid w:val="00204DF7"/>
    <w:rsid w:val="00211A10"/>
    <w:rsid w:val="002375EE"/>
    <w:rsid w:val="002473FE"/>
    <w:rsid w:val="00256ED2"/>
    <w:rsid w:val="00261A74"/>
    <w:rsid w:val="002907B7"/>
    <w:rsid w:val="00291581"/>
    <w:rsid w:val="002A3A1B"/>
    <w:rsid w:val="002C2F37"/>
    <w:rsid w:val="002C31A6"/>
    <w:rsid w:val="002C6EDD"/>
    <w:rsid w:val="002F4545"/>
    <w:rsid w:val="00305B43"/>
    <w:rsid w:val="00321952"/>
    <w:rsid w:val="00334CF4"/>
    <w:rsid w:val="00350B2A"/>
    <w:rsid w:val="00352C7A"/>
    <w:rsid w:val="00360DDA"/>
    <w:rsid w:val="00363566"/>
    <w:rsid w:val="00373263"/>
    <w:rsid w:val="003734B2"/>
    <w:rsid w:val="003750F2"/>
    <w:rsid w:val="00376202"/>
    <w:rsid w:val="00394547"/>
    <w:rsid w:val="003A09E0"/>
    <w:rsid w:val="003D1692"/>
    <w:rsid w:val="003D29EF"/>
    <w:rsid w:val="004133F4"/>
    <w:rsid w:val="00414270"/>
    <w:rsid w:val="00422990"/>
    <w:rsid w:val="00425148"/>
    <w:rsid w:val="00427396"/>
    <w:rsid w:val="00435734"/>
    <w:rsid w:val="0048232E"/>
    <w:rsid w:val="004A4B5F"/>
    <w:rsid w:val="004A7A20"/>
    <w:rsid w:val="004A7DE6"/>
    <w:rsid w:val="004C2937"/>
    <w:rsid w:val="004D0BA6"/>
    <w:rsid w:val="004F2317"/>
    <w:rsid w:val="005264EC"/>
    <w:rsid w:val="005373FA"/>
    <w:rsid w:val="00540119"/>
    <w:rsid w:val="00556D03"/>
    <w:rsid w:val="00557F16"/>
    <w:rsid w:val="00572C36"/>
    <w:rsid w:val="0058338E"/>
    <w:rsid w:val="00584FFD"/>
    <w:rsid w:val="00586F08"/>
    <w:rsid w:val="00594F66"/>
    <w:rsid w:val="00597E81"/>
    <w:rsid w:val="005B4755"/>
    <w:rsid w:val="005C0793"/>
    <w:rsid w:val="005C2DBA"/>
    <w:rsid w:val="005D1447"/>
    <w:rsid w:val="005D6732"/>
    <w:rsid w:val="005E0995"/>
    <w:rsid w:val="005F4481"/>
    <w:rsid w:val="006013D3"/>
    <w:rsid w:val="006024B3"/>
    <w:rsid w:val="0067368B"/>
    <w:rsid w:val="006902FF"/>
    <w:rsid w:val="006920CE"/>
    <w:rsid w:val="00697524"/>
    <w:rsid w:val="006976C0"/>
    <w:rsid w:val="006A42A1"/>
    <w:rsid w:val="006B17B0"/>
    <w:rsid w:val="006B1D11"/>
    <w:rsid w:val="006C051D"/>
    <w:rsid w:val="006D0E53"/>
    <w:rsid w:val="006F10C6"/>
    <w:rsid w:val="006F2CC3"/>
    <w:rsid w:val="006F6CEF"/>
    <w:rsid w:val="00721FB1"/>
    <w:rsid w:val="007258EF"/>
    <w:rsid w:val="00746291"/>
    <w:rsid w:val="007504E7"/>
    <w:rsid w:val="00766703"/>
    <w:rsid w:val="00771697"/>
    <w:rsid w:val="00775E79"/>
    <w:rsid w:val="00781DAB"/>
    <w:rsid w:val="007831DC"/>
    <w:rsid w:val="007868AB"/>
    <w:rsid w:val="00787BDE"/>
    <w:rsid w:val="00790E30"/>
    <w:rsid w:val="007A09E3"/>
    <w:rsid w:val="007B02E6"/>
    <w:rsid w:val="007D2A19"/>
    <w:rsid w:val="007E0B48"/>
    <w:rsid w:val="008442F7"/>
    <w:rsid w:val="00844EE7"/>
    <w:rsid w:val="00853BFE"/>
    <w:rsid w:val="008606C3"/>
    <w:rsid w:val="008A1A21"/>
    <w:rsid w:val="008C150B"/>
    <w:rsid w:val="008D036A"/>
    <w:rsid w:val="008E64EB"/>
    <w:rsid w:val="008F4A7E"/>
    <w:rsid w:val="00915052"/>
    <w:rsid w:val="00915258"/>
    <w:rsid w:val="00915B45"/>
    <w:rsid w:val="00916F4D"/>
    <w:rsid w:val="0094364E"/>
    <w:rsid w:val="0095690B"/>
    <w:rsid w:val="00957690"/>
    <w:rsid w:val="009616BF"/>
    <w:rsid w:val="00965491"/>
    <w:rsid w:val="00986BE9"/>
    <w:rsid w:val="00990355"/>
    <w:rsid w:val="009B55F2"/>
    <w:rsid w:val="009D6CDD"/>
    <w:rsid w:val="009E74EC"/>
    <w:rsid w:val="009F7EFC"/>
    <w:rsid w:val="00A04236"/>
    <w:rsid w:val="00A15EE9"/>
    <w:rsid w:val="00A26331"/>
    <w:rsid w:val="00A26F91"/>
    <w:rsid w:val="00A7228A"/>
    <w:rsid w:val="00AD1617"/>
    <w:rsid w:val="00AD223D"/>
    <w:rsid w:val="00AD3446"/>
    <w:rsid w:val="00AD682D"/>
    <w:rsid w:val="00AD7CAD"/>
    <w:rsid w:val="00AF4EDE"/>
    <w:rsid w:val="00AF57FD"/>
    <w:rsid w:val="00AF66CB"/>
    <w:rsid w:val="00B07380"/>
    <w:rsid w:val="00B15BF1"/>
    <w:rsid w:val="00B23414"/>
    <w:rsid w:val="00B308A3"/>
    <w:rsid w:val="00B340A2"/>
    <w:rsid w:val="00B44F99"/>
    <w:rsid w:val="00B55CF0"/>
    <w:rsid w:val="00B61CE3"/>
    <w:rsid w:val="00B81DAF"/>
    <w:rsid w:val="00B83106"/>
    <w:rsid w:val="00B944D8"/>
    <w:rsid w:val="00B95545"/>
    <w:rsid w:val="00BA23B1"/>
    <w:rsid w:val="00BA7FBD"/>
    <w:rsid w:val="00BC09F3"/>
    <w:rsid w:val="00BC19FC"/>
    <w:rsid w:val="00BC497E"/>
    <w:rsid w:val="00C06F22"/>
    <w:rsid w:val="00C10046"/>
    <w:rsid w:val="00C145C2"/>
    <w:rsid w:val="00C1788F"/>
    <w:rsid w:val="00C22FF2"/>
    <w:rsid w:val="00C2380B"/>
    <w:rsid w:val="00C31834"/>
    <w:rsid w:val="00C4194A"/>
    <w:rsid w:val="00C51028"/>
    <w:rsid w:val="00C56F1B"/>
    <w:rsid w:val="00C6274C"/>
    <w:rsid w:val="00C6306A"/>
    <w:rsid w:val="00C710F0"/>
    <w:rsid w:val="00C7161B"/>
    <w:rsid w:val="00C72B2E"/>
    <w:rsid w:val="00C803CA"/>
    <w:rsid w:val="00C826ED"/>
    <w:rsid w:val="00C91AB3"/>
    <w:rsid w:val="00CB162E"/>
    <w:rsid w:val="00CB596D"/>
    <w:rsid w:val="00CD0B53"/>
    <w:rsid w:val="00CD5B66"/>
    <w:rsid w:val="00CF380C"/>
    <w:rsid w:val="00D0321A"/>
    <w:rsid w:val="00D15A9D"/>
    <w:rsid w:val="00D16F40"/>
    <w:rsid w:val="00D27554"/>
    <w:rsid w:val="00D35C74"/>
    <w:rsid w:val="00D4092B"/>
    <w:rsid w:val="00D521AE"/>
    <w:rsid w:val="00D66585"/>
    <w:rsid w:val="00D86B62"/>
    <w:rsid w:val="00D878A5"/>
    <w:rsid w:val="00DA3F53"/>
    <w:rsid w:val="00DA4B82"/>
    <w:rsid w:val="00DC4C91"/>
    <w:rsid w:val="00DE2296"/>
    <w:rsid w:val="00DE5DA0"/>
    <w:rsid w:val="00E02D16"/>
    <w:rsid w:val="00E21E42"/>
    <w:rsid w:val="00E31169"/>
    <w:rsid w:val="00E3772E"/>
    <w:rsid w:val="00E37F88"/>
    <w:rsid w:val="00E4277D"/>
    <w:rsid w:val="00E43455"/>
    <w:rsid w:val="00E53026"/>
    <w:rsid w:val="00E605C0"/>
    <w:rsid w:val="00E7072E"/>
    <w:rsid w:val="00E97AE6"/>
    <w:rsid w:val="00EA4B43"/>
    <w:rsid w:val="00EC483F"/>
    <w:rsid w:val="00EE0784"/>
    <w:rsid w:val="00EE27BE"/>
    <w:rsid w:val="00EF78CC"/>
    <w:rsid w:val="00F00CF3"/>
    <w:rsid w:val="00F046B7"/>
    <w:rsid w:val="00F07E45"/>
    <w:rsid w:val="00F203EB"/>
    <w:rsid w:val="00F20835"/>
    <w:rsid w:val="00F545D6"/>
    <w:rsid w:val="00F56BB7"/>
    <w:rsid w:val="00F947F0"/>
    <w:rsid w:val="00FA1FCF"/>
    <w:rsid w:val="00FD4B9B"/>
    <w:rsid w:val="00FD5E2E"/>
    <w:rsid w:val="00FD6E33"/>
    <w:rsid w:val="00FF6EED"/>
    <w:rsid w:val="050A3937"/>
    <w:rsid w:val="05573F42"/>
    <w:rsid w:val="0AB02DEE"/>
    <w:rsid w:val="10173EBF"/>
    <w:rsid w:val="1307310A"/>
    <w:rsid w:val="174B1B06"/>
    <w:rsid w:val="187F4AA3"/>
    <w:rsid w:val="206170B5"/>
    <w:rsid w:val="248F4BD1"/>
    <w:rsid w:val="295A6E90"/>
    <w:rsid w:val="2D860546"/>
    <w:rsid w:val="4055331D"/>
    <w:rsid w:val="43506FF2"/>
    <w:rsid w:val="4EE22343"/>
    <w:rsid w:val="51F5181F"/>
    <w:rsid w:val="5C5B5A07"/>
    <w:rsid w:val="5C7F18AC"/>
    <w:rsid w:val="647D7502"/>
    <w:rsid w:val="6AEF3694"/>
    <w:rsid w:val="70033BD8"/>
    <w:rsid w:val="71AB1748"/>
    <w:rsid w:val="794669D3"/>
    <w:rsid w:val="79EA058F"/>
    <w:rsid w:val="7BD04C7A"/>
    <w:rsid w:val="7E8A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34"/>
    </w:pPr>
    <w:rPr>
      <w:rFonts w:eastAsia="仿宋_GB2312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link w:val="3"/>
    <w:qFormat/>
    <w:uiPriority w:val="0"/>
    <w:rPr>
      <w:kern w:val="2"/>
      <w:sz w:val="18"/>
      <w:szCs w:val="18"/>
    </w:rPr>
  </w:style>
  <w:style w:type="paragraph" w:customStyle="1" w:styleId="13">
    <w:name w:val="Char Char Char Char Char Char1"/>
    <w:basedOn w:val="1"/>
    <w:qFormat/>
    <w:uiPriority w:val="0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2268</Words>
  <Characters>2420</Characters>
  <Lines>23</Lines>
  <Paragraphs>6</Paragraphs>
  <TotalTime>11</TotalTime>
  <ScaleCrop>false</ScaleCrop>
  <LinksUpToDate>false</LinksUpToDate>
  <CharactersWithSpaces>2425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2022-04-11T01:19:00Z</dcterms:created>
  <dc:creator>朱娜</dc:creator>
  <cp:lastModifiedBy>13988</cp:lastModifiedBy>
  <cp:lastPrinted>2022-04-11T00:52:00Z</cp:lastPrinted>
  <dcterms:modified xsi:type="dcterms:W3CDTF">2023-09-14T08:43:41Z</dcterms:modified>
  <dc:title>湖南省财政厅处室便函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ACDC848862164E59A44FB2769D9A450B_13</vt:lpwstr>
  </property>
</Properties>
</file>