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rPr>
          <w:rFonts w:ascii="黑体" w:hAnsi="黑体" w:eastAsia="黑体" w:cs="黑体"/>
          <w:bCs/>
          <w:sz w:val="32"/>
          <w:szCs w:val="32"/>
        </w:rPr>
      </w:pPr>
      <w:r>
        <w:rPr>
          <w:rFonts w:hint="eastAsia" w:ascii="黑体" w:hAnsi="黑体" w:eastAsia="黑体" w:cs="黑体"/>
          <w:bCs/>
          <w:sz w:val="32"/>
          <w:szCs w:val="32"/>
        </w:rPr>
        <w:t>附件2-1</w:t>
      </w:r>
    </w:p>
    <w:p>
      <w:pPr>
        <w:spacing w:line="348" w:lineRule="auto"/>
        <w:jc w:val="center"/>
        <w:rPr>
          <w:rFonts w:eastAsia="方正小标宋简体"/>
          <w:bCs/>
          <w:sz w:val="42"/>
          <w:szCs w:val="42"/>
        </w:rPr>
      </w:pPr>
    </w:p>
    <w:p>
      <w:pPr>
        <w:spacing w:line="800" w:lineRule="exact"/>
        <w:jc w:val="center"/>
        <w:rPr>
          <w:rFonts w:eastAsia="方正小标宋简体"/>
          <w:bCs/>
          <w:sz w:val="46"/>
          <w:szCs w:val="46"/>
        </w:rPr>
      </w:pPr>
      <w:r>
        <w:rPr>
          <w:rFonts w:hint="eastAsia" w:eastAsia="方正小标宋简体"/>
          <w:bCs/>
          <w:sz w:val="46"/>
          <w:szCs w:val="46"/>
        </w:rPr>
        <w:t>岳阳县</w:t>
      </w:r>
      <w:r>
        <w:rPr>
          <w:rFonts w:eastAsia="方正小标宋简体"/>
          <w:bCs/>
          <w:sz w:val="46"/>
          <w:szCs w:val="46"/>
        </w:rPr>
        <w:t>20</w:t>
      </w:r>
      <w:r>
        <w:rPr>
          <w:rFonts w:hint="eastAsia" w:eastAsia="方正小标宋简体"/>
          <w:bCs/>
          <w:sz w:val="46"/>
          <w:szCs w:val="46"/>
          <w:u w:val="single"/>
        </w:rPr>
        <w:t>20</w:t>
      </w:r>
      <w:r>
        <w:rPr>
          <w:rFonts w:hint="eastAsia" w:eastAsia="方正小标宋简体"/>
          <w:bCs/>
          <w:sz w:val="46"/>
          <w:szCs w:val="46"/>
        </w:rPr>
        <w:t>年度部门整体支出</w:t>
      </w:r>
    </w:p>
    <w:p>
      <w:pPr>
        <w:spacing w:line="800" w:lineRule="exact"/>
        <w:jc w:val="center"/>
        <w:rPr>
          <w:rFonts w:eastAsia="方正小标宋简体"/>
          <w:bCs/>
          <w:sz w:val="46"/>
          <w:szCs w:val="46"/>
        </w:rPr>
      </w:pPr>
      <w:r>
        <w:rPr>
          <w:rFonts w:hint="eastAsia" w:eastAsia="方正小标宋简体"/>
          <w:bCs/>
          <w:sz w:val="46"/>
          <w:szCs w:val="46"/>
        </w:rPr>
        <w:t>绩效评价自评报告</w:t>
      </w:r>
    </w:p>
    <w:p>
      <w:pPr>
        <w:rPr>
          <w:rFonts w:eastAsia="仿宋_GB2312"/>
          <w:b/>
          <w:sz w:val="32"/>
        </w:rPr>
      </w:pPr>
    </w:p>
    <w:p>
      <w:pPr>
        <w:rPr>
          <w:rFonts w:eastAsia="仿宋_GB2312"/>
          <w:b/>
          <w:sz w:val="32"/>
        </w:rPr>
      </w:pPr>
    </w:p>
    <w:p>
      <w:pPr>
        <w:rPr>
          <w:rFonts w:eastAsia="仿宋_GB2312"/>
          <w:b/>
          <w:sz w:val="32"/>
        </w:rPr>
      </w:pPr>
    </w:p>
    <w:p>
      <w:pPr>
        <w:spacing w:beforeLines="50" w:line="348" w:lineRule="auto"/>
        <w:ind w:firstLine="476" w:firstLineChars="150"/>
        <w:rPr>
          <w:rFonts w:eastAsia="仿宋_GB2312"/>
          <w:sz w:val="32"/>
          <w:szCs w:val="32"/>
          <w:u w:val="single"/>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eastAsia="仿宋_GB2312"/>
          <w:sz w:val="32"/>
          <w:szCs w:val="32"/>
          <w:u w:val="single"/>
        </w:rPr>
        <w:t xml:space="preserve">     </w:t>
      </w:r>
      <w:r>
        <w:rPr>
          <w:rFonts w:hint="eastAsia" w:eastAsia="仿宋_GB2312"/>
          <w:sz w:val="32"/>
          <w:szCs w:val="32"/>
          <w:u w:val="single"/>
          <w:lang w:eastAsia="zh-CN"/>
        </w:rPr>
        <w:t>岳阳县商务粮食局</w:t>
      </w:r>
      <w:r>
        <w:rPr>
          <w:rFonts w:eastAsia="仿宋_GB2312"/>
          <w:sz w:val="32"/>
          <w:szCs w:val="32"/>
          <w:u w:val="single"/>
        </w:rPr>
        <w:t xml:space="preserve">                              </w:t>
      </w:r>
    </w:p>
    <w:p>
      <w:pPr>
        <w:spacing w:beforeLines="50" w:line="348" w:lineRule="auto"/>
        <w:ind w:firstLine="476" w:firstLineChars="150"/>
        <w:rPr>
          <w:rFonts w:eastAsia="仿宋_GB2312"/>
          <w:spacing w:val="20"/>
          <w:sz w:val="32"/>
          <w:szCs w:val="32"/>
        </w:rPr>
      </w:pPr>
      <w:r>
        <w:rPr>
          <w:rFonts w:hint="eastAsia" w:eastAsia="仿宋_GB2312"/>
          <w:sz w:val="32"/>
          <w:szCs w:val="32"/>
        </w:rPr>
        <w:t>预</w:t>
      </w:r>
      <w:r>
        <w:rPr>
          <w:rFonts w:eastAsia="仿宋_GB2312"/>
          <w:spacing w:val="30"/>
          <w:sz w:val="32"/>
          <w:szCs w:val="32"/>
        </w:rPr>
        <w:t xml:space="preserve"> </w:t>
      </w:r>
      <w:r>
        <w:rPr>
          <w:rFonts w:hint="eastAsia" w:eastAsia="仿宋_GB2312"/>
          <w:spacing w:val="30"/>
          <w:sz w:val="32"/>
          <w:szCs w:val="32"/>
        </w:rPr>
        <w:t>算</w:t>
      </w:r>
      <w:r>
        <w:rPr>
          <w:rFonts w:eastAsia="仿宋_GB2312"/>
          <w:spacing w:val="30"/>
          <w:sz w:val="32"/>
          <w:szCs w:val="32"/>
        </w:rPr>
        <w:t xml:space="preserve"> </w:t>
      </w:r>
      <w:r>
        <w:rPr>
          <w:rFonts w:hint="eastAsia" w:eastAsia="仿宋_GB2312"/>
          <w:spacing w:val="30"/>
          <w:sz w:val="32"/>
          <w:szCs w:val="32"/>
        </w:rPr>
        <w:t>编</w:t>
      </w:r>
      <w:r>
        <w:rPr>
          <w:rFonts w:eastAsia="仿宋_GB2312"/>
          <w:spacing w:val="30"/>
          <w:sz w:val="32"/>
          <w:szCs w:val="32"/>
        </w:rPr>
        <w:t xml:space="preserve"> </w:t>
      </w:r>
      <w:r>
        <w:rPr>
          <w:rFonts w:hint="eastAsia" w:eastAsia="仿宋_GB2312"/>
          <w:spacing w:val="30"/>
          <w:sz w:val="32"/>
          <w:szCs w:val="32"/>
        </w:rPr>
        <w:t>码：</w:t>
      </w:r>
      <w:r>
        <w:rPr>
          <w:rFonts w:eastAsia="仿宋_GB2312"/>
          <w:spacing w:val="20"/>
          <w:sz w:val="32"/>
          <w:szCs w:val="32"/>
          <w:u w:val="single"/>
        </w:rPr>
        <w:t xml:space="preserve">     </w:t>
      </w:r>
      <w:r>
        <w:rPr>
          <w:rFonts w:hint="eastAsia" w:eastAsia="仿宋_GB2312"/>
          <w:spacing w:val="20"/>
          <w:sz w:val="32"/>
          <w:szCs w:val="32"/>
          <w:u w:val="single"/>
          <w:lang w:val="en-US" w:eastAsia="zh-CN"/>
        </w:rPr>
        <w:t>193001</w:t>
      </w:r>
      <w:r>
        <w:rPr>
          <w:rFonts w:eastAsia="仿宋_GB2312"/>
          <w:spacing w:val="20"/>
          <w:sz w:val="32"/>
          <w:szCs w:val="32"/>
          <w:u w:val="single"/>
        </w:rPr>
        <w:t xml:space="preserve">                       </w:t>
      </w:r>
    </w:p>
    <w:p>
      <w:pPr>
        <w:spacing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r>
        <w:rPr>
          <w:rFonts w:eastAsia="仿宋_GB2312"/>
          <w:sz w:val="32"/>
          <w:szCs w:val="32"/>
        </w:rPr>
        <w:t xml:space="preserve">   </w:t>
      </w: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348" w:lineRule="auto"/>
        <w:jc w:val="center"/>
        <w:rPr>
          <w:rFonts w:eastAsia="仿宋_GB2312"/>
          <w:sz w:val="32"/>
        </w:rPr>
      </w:pPr>
      <w:r>
        <w:rPr>
          <w:rFonts w:hint="eastAsia" w:eastAsia="仿宋_GB2312"/>
          <w:sz w:val="32"/>
        </w:rPr>
        <w:t>报告日期：</w:t>
      </w:r>
      <w:r>
        <w:rPr>
          <w:rFonts w:eastAsia="仿宋_GB2312"/>
          <w:sz w:val="32"/>
        </w:rPr>
        <w:t xml:space="preserve"> </w:t>
      </w:r>
      <w:r>
        <w:rPr>
          <w:rFonts w:hint="eastAsia" w:eastAsia="仿宋_GB2312"/>
          <w:sz w:val="32"/>
          <w:lang w:val="en-US" w:eastAsia="zh-CN"/>
        </w:rPr>
        <w:t>2021</w:t>
      </w:r>
      <w:r>
        <w:rPr>
          <w:rFonts w:eastAsia="仿宋_GB2312"/>
          <w:sz w:val="32"/>
        </w:rPr>
        <w:t xml:space="preserve">  </w:t>
      </w:r>
      <w:r>
        <w:rPr>
          <w:rFonts w:hint="eastAsia" w:eastAsia="仿宋_GB2312"/>
          <w:sz w:val="32"/>
        </w:rPr>
        <w:t>年</w:t>
      </w:r>
      <w:r>
        <w:rPr>
          <w:rFonts w:eastAsia="仿宋_GB2312"/>
          <w:sz w:val="32"/>
        </w:rPr>
        <w:t xml:space="preserve"> </w:t>
      </w:r>
      <w:r>
        <w:rPr>
          <w:rFonts w:hint="eastAsia" w:eastAsia="仿宋_GB2312"/>
          <w:sz w:val="32"/>
          <w:lang w:val="en-US" w:eastAsia="zh-CN"/>
        </w:rPr>
        <w:t>7</w:t>
      </w:r>
      <w:r>
        <w:rPr>
          <w:rFonts w:eastAsia="仿宋_GB2312"/>
          <w:sz w:val="32"/>
        </w:rPr>
        <w:t xml:space="preserve">  </w:t>
      </w:r>
      <w:r>
        <w:rPr>
          <w:rFonts w:hint="eastAsia" w:eastAsia="仿宋_GB2312"/>
          <w:sz w:val="32"/>
        </w:rPr>
        <w:t>月</w:t>
      </w:r>
      <w:r>
        <w:rPr>
          <w:rFonts w:eastAsia="仿宋_GB2312"/>
          <w:sz w:val="32"/>
        </w:rPr>
        <w:t xml:space="preserve">  </w:t>
      </w:r>
      <w:r>
        <w:rPr>
          <w:rFonts w:hint="eastAsia" w:eastAsia="仿宋_GB2312"/>
          <w:sz w:val="32"/>
          <w:lang w:val="en-US" w:eastAsia="zh-CN"/>
        </w:rPr>
        <w:t>15</w:t>
      </w:r>
      <w:r>
        <w:rPr>
          <w:rFonts w:eastAsia="仿宋_GB2312"/>
          <w:sz w:val="32"/>
        </w:rPr>
        <w:t xml:space="preserve"> </w:t>
      </w:r>
      <w:r>
        <w:rPr>
          <w:rFonts w:hint="eastAsia" w:eastAsia="仿宋_GB2312"/>
          <w:sz w:val="32"/>
        </w:rPr>
        <w:t>日</w:t>
      </w:r>
    </w:p>
    <w:p>
      <w:pPr>
        <w:autoSpaceDN w:val="0"/>
        <w:jc w:val="center"/>
        <w:textAlignment w:val="center"/>
        <w:rPr>
          <w:rFonts w:eastAsia="仿宋_GB2312"/>
          <w:sz w:val="32"/>
          <w:szCs w:val="32"/>
        </w:rPr>
      </w:pPr>
      <w:r>
        <w:rPr>
          <w:rFonts w:hint="eastAsia" w:eastAsia="仿宋_GB2312"/>
          <w:sz w:val="32"/>
        </w:rPr>
        <w:t>岳阳县财政</w:t>
      </w:r>
      <w:r>
        <w:rPr>
          <w:rFonts w:hint="eastAsia" w:eastAsia="仿宋_GB2312"/>
          <w:sz w:val="32"/>
          <w:szCs w:val="32"/>
        </w:rPr>
        <w:t>局（制）</w:t>
      </w:r>
    </w:p>
    <w:p>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4"/>
        <w:tblW w:w="995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213"/>
        <w:gridCol w:w="46"/>
        <w:gridCol w:w="1080"/>
        <w:gridCol w:w="210"/>
        <w:gridCol w:w="1145"/>
        <w:gridCol w:w="272"/>
        <w:gridCol w:w="808"/>
        <w:gridCol w:w="1479"/>
        <w:gridCol w:w="226"/>
        <w:gridCol w:w="196"/>
        <w:gridCol w:w="259"/>
        <w:gridCol w:w="1080"/>
        <w:gridCol w:w="265"/>
        <w:gridCol w:w="139"/>
        <w:gridCol w:w="316"/>
        <w:gridCol w:w="7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何荣荣</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07307659019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103</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85"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301"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贯彻落实国家有关国内外贸易、国际经济合作的发展战略、方针、政策，拟订本县相应的中长期发展规划以及规定、办法和措施；培育发展城乡市场，推进流通产业结构调整和连锁经营、物流配送、电子商务等现代流通方式；拟订全县流通领域市场体系及流通秩序和打破市场垄断、地区封锁的政策，建立健全统一、开放、竞争、有序的市场体系；监测分析市场运行和商品供求状况，负责煤炭、成品油等重要生产资料的市场调控以及国家、省、市有关粮食流通和粮食储备方针、政策和法规，研究提出并组织实施全县粮食宏观调控和总量平衡以及制定全县粮食流通体制改革方案并负责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34"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301"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任务1：</w:t>
            </w:r>
            <w:r>
              <w:rPr>
                <w:rFonts w:hint="eastAsia" w:ascii="仿宋_GB2312" w:hAnsi="仿宋_GB2312" w:eastAsia="仿宋_GB2312" w:cs="仿宋_GB2312"/>
                <w:color w:val="000000"/>
                <w:sz w:val="24"/>
                <w:lang w:eastAsia="zh-CN"/>
              </w:rPr>
              <w:t>全年预算申请到位和下达数量在</w:t>
            </w:r>
            <w:r>
              <w:rPr>
                <w:rFonts w:hint="eastAsia" w:ascii="仿宋_GB2312" w:hAnsi="仿宋_GB2312" w:eastAsia="仿宋_GB2312" w:cs="仿宋_GB2312"/>
                <w:color w:val="000000"/>
                <w:sz w:val="24"/>
                <w:lang w:val="en-US" w:eastAsia="zh-CN"/>
              </w:rPr>
              <w:t>95%以上，三公经费变动率</w:t>
            </w:r>
            <w:r>
              <w:rPr>
                <w:rFonts w:hint="default" w:ascii="Arial" w:hAnsi="Arial" w:eastAsia="仿宋_GB2312" w:cs="Arial"/>
                <w:color w:val="000000"/>
                <w:sz w:val="24"/>
                <w:lang w:val="en-US" w:eastAsia="zh-CN"/>
              </w:rPr>
              <w:t>≤</w:t>
            </w:r>
            <w:r>
              <w:rPr>
                <w:rFonts w:hint="eastAsia" w:ascii="仿宋_GB2312" w:hAnsi="仿宋_GB2312" w:eastAsia="仿宋_GB2312" w:cs="仿宋_GB2312"/>
                <w:color w:val="000000"/>
                <w:sz w:val="24"/>
                <w:lang w:val="en-US" w:eastAsia="zh-CN"/>
              </w:rPr>
              <w:t>0。</w:t>
            </w:r>
          </w:p>
          <w:p>
            <w:pPr>
              <w:autoSpaceDN w:val="0"/>
              <w:spacing w:line="40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任务2：</w:t>
            </w:r>
            <w:r>
              <w:rPr>
                <w:rFonts w:hint="eastAsia" w:ascii="仿宋_GB2312" w:hAnsi="仿宋_GB2312" w:eastAsia="仿宋_GB2312" w:cs="仿宋_GB2312"/>
                <w:color w:val="000000"/>
                <w:sz w:val="24"/>
                <w:lang w:eastAsia="zh-CN"/>
              </w:rPr>
              <w:t>社会效益、经济效益、生态效益和社会公众满意度达到预期目标。</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任务3：</w:t>
            </w:r>
            <w:r>
              <w:rPr>
                <w:rFonts w:hint="eastAsia" w:ascii="仿宋_GB2312" w:hAnsi="仿宋_GB2312" w:eastAsia="仿宋_GB2312" w:cs="仿宋_GB2312"/>
                <w:color w:val="000000"/>
                <w:sz w:val="24"/>
                <w:szCs w:val="24"/>
                <w:lang w:eastAsia="zh-CN"/>
              </w:rPr>
              <w:t>完成社会消费口零售总额</w:t>
            </w:r>
            <w:r>
              <w:rPr>
                <w:rFonts w:hint="eastAsia" w:ascii="仿宋_GB2312" w:hAnsi="仿宋_GB2312" w:eastAsia="仿宋_GB2312" w:cs="仿宋_GB2312"/>
                <w:sz w:val="24"/>
                <w:szCs w:val="24"/>
              </w:rPr>
              <w:t>13</w:t>
            </w:r>
            <w:r>
              <w:rPr>
                <w:rFonts w:hint="eastAsia" w:ascii="仿宋_GB2312" w:hAnsi="仿宋_GB2312" w:eastAsia="仿宋_GB2312" w:cs="仿宋_GB2312"/>
                <w:sz w:val="24"/>
                <w:szCs w:val="24"/>
                <w:lang w:val="en-US" w:eastAsia="zh-CN"/>
              </w:rPr>
              <w:t>3.65</w:t>
            </w:r>
            <w:r>
              <w:rPr>
                <w:rFonts w:hint="eastAsia" w:ascii="仿宋_GB2312" w:hAnsi="仿宋_GB2312" w:eastAsia="仿宋_GB2312" w:cs="仿宋_GB2312"/>
                <w:sz w:val="24"/>
                <w:szCs w:val="24"/>
              </w:rPr>
              <w:t>亿元</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全市六县市排名第二。</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themeColor="text1"/>
                <w:sz w:val="24"/>
                <w:lang w:eastAsia="zh-CN"/>
                <w14:textFill>
                  <w14:solidFill>
                    <w14:schemeClr w14:val="tx1"/>
                  </w14:solidFill>
                </w14:textFill>
              </w:rPr>
              <w:t>任务</w:t>
            </w:r>
            <w:r>
              <w:rPr>
                <w:rFonts w:hint="eastAsia" w:ascii="仿宋_GB2312" w:hAnsi="仿宋_GB2312" w:eastAsia="仿宋_GB2312" w:cs="仿宋_GB2312"/>
                <w:color w:val="000000" w:themeColor="text1"/>
                <w:sz w:val="24"/>
                <w:lang w:val="en-US" w:eastAsia="zh-CN"/>
                <w14:textFill>
                  <w14:solidFill>
                    <w14:schemeClr w14:val="tx1"/>
                  </w14:solidFill>
                </w14:textFill>
              </w:rPr>
              <w:t>4：完成省级储备粮轮换早籼稻2412吨，县级储备粮轮换早籼稻5500吨</w:t>
            </w:r>
            <w:r>
              <w:rPr>
                <w:rFonts w:hint="eastAsia" w:ascii="仿宋_GB2312" w:hAnsi="仿宋_GB2312" w:eastAsia="仿宋_GB2312" w:cs="仿宋_GB2312"/>
                <w:color w:val="000000"/>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28"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301"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numPr>
                <w:ilvl w:val="0"/>
                <w:numId w:val="1"/>
              </w:numPr>
              <w:autoSpaceDN w:val="0"/>
              <w:spacing w:line="400" w:lineRule="exact"/>
              <w:jc w:val="left"/>
              <w:textAlignment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单位全年平稳运行，资金使用安全，收支平衡。</w:t>
            </w:r>
          </w:p>
          <w:p>
            <w:pPr>
              <w:numPr>
                <w:ilvl w:val="0"/>
                <w:numId w:val="1"/>
              </w:numPr>
              <w:autoSpaceDN w:val="0"/>
              <w:spacing w:line="400" w:lineRule="exact"/>
              <w:jc w:val="left"/>
              <w:textAlignment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2020年已完成2018年度中国好粮油省级重点支持县项目，粮食产后体系建设项目已顺利验收，获省局好评。</w:t>
            </w:r>
          </w:p>
          <w:p>
            <w:pPr>
              <w:numPr>
                <w:ilvl w:val="0"/>
                <w:numId w:val="1"/>
              </w:numPr>
              <w:autoSpaceDN w:val="0"/>
              <w:spacing w:line="400" w:lineRule="exact"/>
              <w:jc w:val="left"/>
              <w:textAlignment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按照2020年国家粮食轮换政策，已完成省级储备粮轮换2412吨和县级储备粮轮换5500吨，确保国家粮食库存安全。</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4、2020年完成岳阳荣家湾粮库三万吨标准化仓储项目建设，力争2021年2月底验收，项目已完成主体工程，受到省市领导的好评，确保了我县粮食收购仓容充足。</w:t>
            </w:r>
          </w:p>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175"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1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2"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3333.57</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471.25</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2785.21</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77.11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2740.64</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461.70</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2228.83</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592.93</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9.55</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556.38</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top w:val="single" w:color="000000" w:sz="4" w:space="0"/>
              <w:left w:val="single" w:color="auto" w:sz="4" w:space="0"/>
              <w:bottom w:val="single" w:color="auto"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500" w:type="dxa"/>
            <w:gridSpan w:val="4"/>
            <w:tcBorders>
              <w:top w:val="single" w:color="000000" w:sz="4" w:space="0"/>
              <w:left w:val="single" w:color="auto" w:sz="4" w:space="0"/>
              <w:bottom w:val="single" w:color="auto"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40" w:type="dxa"/>
            <w:gridSpan w:val="6"/>
            <w:tcBorders>
              <w:top w:val="single" w:color="auto"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vMerge w:val="restart"/>
            <w:tcBorders>
              <w:top w:val="single" w:color="auto"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780" w:type="dxa"/>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vMerge w:val="continue"/>
            <w:tcBorders>
              <w:top w:val="single" w:color="auto"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720" w:type="dxa"/>
            <w:gridSpan w:val="3"/>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780"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7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2645.93</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2032.42</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1488.77</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543.65</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613.51</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687.64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2064.21</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1450.7</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1009.31</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441.39</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613.51</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676.43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581.72</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581.72</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479.46</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102.26</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11.21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175"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8"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1.03</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1.03</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1.03</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1.03</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top w:val="single" w:color="000000" w:sz="4" w:space="0"/>
              <w:left w:val="single" w:color="auto"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96" w:type="dxa"/>
            <w:gridSpan w:val="2"/>
            <w:vMerge w:val="restart"/>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44" w:type="dxa"/>
            <w:gridSpan w:val="7"/>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1096" w:type="dxa"/>
            <w:gridSpan w:val="2"/>
            <w:vMerge w:val="continue"/>
            <w:tcBorders>
              <w:top w:val="single" w:color="000000"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5"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744.90</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744.90</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494.71</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494.71</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250.19</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250.19</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91"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7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740"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72"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77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目标1：</w:t>
            </w:r>
            <w:r>
              <w:rPr>
                <w:rFonts w:hint="eastAsia" w:ascii="仿宋_GB2312" w:hAnsi="仿宋_GB2312" w:eastAsia="仿宋_GB2312" w:cs="仿宋_GB2312"/>
                <w:color w:val="000000"/>
                <w:sz w:val="24"/>
                <w:lang w:eastAsia="zh-CN"/>
              </w:rPr>
              <w:t>全年预算申请到位和下达数量在</w:t>
            </w:r>
            <w:r>
              <w:rPr>
                <w:rFonts w:hint="eastAsia" w:ascii="仿宋_GB2312" w:hAnsi="仿宋_GB2312" w:eastAsia="仿宋_GB2312" w:cs="仿宋_GB2312"/>
                <w:color w:val="000000"/>
                <w:sz w:val="24"/>
                <w:lang w:val="en-US" w:eastAsia="zh-CN"/>
              </w:rPr>
              <w:t>95%以上，三公经费变动率</w:t>
            </w:r>
            <w:r>
              <w:rPr>
                <w:rFonts w:hint="default" w:ascii="Arial" w:hAnsi="Arial" w:eastAsia="仿宋_GB2312" w:cs="Arial"/>
                <w:color w:val="000000"/>
                <w:sz w:val="24"/>
                <w:lang w:val="en-US" w:eastAsia="zh-CN"/>
              </w:rPr>
              <w:t>≤</w:t>
            </w:r>
            <w:r>
              <w:rPr>
                <w:rFonts w:hint="eastAsia" w:ascii="仿宋_GB2312" w:hAnsi="仿宋_GB2312" w:eastAsia="仿宋_GB2312" w:cs="仿宋_GB2312"/>
                <w:color w:val="000000"/>
                <w:sz w:val="24"/>
                <w:lang w:val="en-US" w:eastAsia="zh-CN"/>
              </w:rPr>
              <w:t>0。</w:t>
            </w:r>
          </w:p>
          <w:p>
            <w:pPr>
              <w:autoSpaceDN w:val="0"/>
              <w:spacing w:line="40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目标2：</w:t>
            </w:r>
            <w:r>
              <w:rPr>
                <w:rFonts w:hint="eastAsia" w:ascii="仿宋_GB2312" w:hAnsi="仿宋_GB2312" w:eastAsia="仿宋_GB2312" w:cs="仿宋_GB2312"/>
                <w:color w:val="000000"/>
                <w:sz w:val="24"/>
                <w:lang w:eastAsia="zh-CN"/>
              </w:rPr>
              <w:t>社会效益、经济效益、生态效益和社会公众满意度达到预期目标。</w:t>
            </w:r>
          </w:p>
          <w:p>
            <w:pPr>
              <w:autoSpaceDN w:val="0"/>
              <w:spacing w:line="40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目标3：</w:t>
            </w:r>
            <w:r>
              <w:rPr>
                <w:rFonts w:hint="eastAsia" w:ascii="仿宋_GB2312" w:hAnsi="仿宋_GB2312" w:eastAsia="仿宋_GB2312" w:cs="仿宋_GB2312"/>
                <w:color w:val="000000"/>
                <w:sz w:val="24"/>
                <w:lang w:eastAsia="zh-CN"/>
              </w:rPr>
              <w:t>完成社会消费品零售总额</w:t>
            </w:r>
            <w:r>
              <w:rPr>
                <w:rFonts w:hint="eastAsia" w:ascii="仿宋_GB2312" w:hAnsi="仿宋_GB2312" w:eastAsia="仿宋_GB2312" w:cs="仿宋_GB2312"/>
                <w:color w:val="000000"/>
                <w:sz w:val="24"/>
                <w:lang w:val="en-US" w:eastAsia="zh-CN"/>
              </w:rPr>
              <w:t>134.62亿元，比去年同期增速10%。</w:t>
            </w:r>
          </w:p>
          <w:p>
            <w:pPr>
              <w:autoSpaceDN w:val="0"/>
              <w:spacing w:line="40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目标4：完成省级储备粮轮换早籼稻2412吨，县级储备粮轮换早籼稻5500吨。</w:t>
            </w:r>
          </w:p>
          <w:p>
            <w:pPr>
              <w:autoSpaceDN w:val="0"/>
              <w:spacing w:line="320" w:lineRule="exact"/>
              <w:jc w:val="left"/>
              <w:textAlignment w:val="center"/>
              <w:rPr>
                <w:rFonts w:ascii="仿宋_GB2312" w:hAnsi="仿宋_GB2312" w:eastAsia="仿宋_GB2312" w:cs="仿宋_GB2312"/>
                <w:color w:val="000000"/>
                <w:sz w:val="24"/>
              </w:rPr>
            </w:pPr>
          </w:p>
        </w:tc>
        <w:tc>
          <w:tcPr>
            <w:tcW w:w="4740"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目标1：</w:t>
            </w:r>
            <w:r>
              <w:rPr>
                <w:rFonts w:hint="eastAsia" w:ascii="仿宋_GB2312" w:hAnsi="仿宋_GB2312" w:eastAsia="仿宋_GB2312" w:cs="仿宋_GB2312"/>
                <w:color w:val="000000"/>
                <w:sz w:val="24"/>
                <w:lang w:eastAsia="zh-CN"/>
              </w:rPr>
              <w:t>全年预算申请到位和下达数量在</w:t>
            </w:r>
            <w:r>
              <w:rPr>
                <w:rFonts w:hint="eastAsia" w:ascii="仿宋_GB2312" w:hAnsi="仿宋_GB2312" w:eastAsia="仿宋_GB2312" w:cs="仿宋_GB2312"/>
                <w:color w:val="000000"/>
                <w:sz w:val="24"/>
                <w:lang w:val="en-US" w:eastAsia="zh-CN"/>
              </w:rPr>
              <w:t>95%以上，三公经费变动率</w:t>
            </w:r>
            <w:r>
              <w:rPr>
                <w:rFonts w:hint="default" w:ascii="Arial" w:hAnsi="Arial" w:eastAsia="仿宋_GB2312" w:cs="Arial"/>
                <w:color w:val="000000"/>
                <w:sz w:val="24"/>
                <w:lang w:val="en-US" w:eastAsia="zh-CN"/>
              </w:rPr>
              <w:t>≤</w:t>
            </w:r>
            <w:r>
              <w:rPr>
                <w:rFonts w:hint="eastAsia" w:ascii="仿宋_GB2312" w:hAnsi="仿宋_GB2312" w:eastAsia="仿宋_GB2312" w:cs="仿宋_GB2312"/>
                <w:color w:val="000000"/>
                <w:sz w:val="24"/>
                <w:lang w:val="en-US" w:eastAsia="zh-CN"/>
              </w:rPr>
              <w:t>0。</w:t>
            </w:r>
          </w:p>
          <w:p>
            <w:pPr>
              <w:autoSpaceDN w:val="0"/>
              <w:spacing w:line="40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目标2：</w:t>
            </w:r>
            <w:r>
              <w:rPr>
                <w:rFonts w:hint="eastAsia" w:ascii="仿宋_GB2312" w:hAnsi="仿宋_GB2312" w:eastAsia="仿宋_GB2312" w:cs="仿宋_GB2312"/>
                <w:color w:val="000000"/>
                <w:sz w:val="24"/>
                <w:lang w:eastAsia="zh-CN"/>
              </w:rPr>
              <w:t>社会效益、经济效益、生态效益和社会公众满意度达到预期目标。</w:t>
            </w:r>
          </w:p>
          <w:p>
            <w:pPr>
              <w:autoSpaceDN w:val="0"/>
              <w:spacing w:line="40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目标3：</w:t>
            </w:r>
            <w:r>
              <w:rPr>
                <w:rFonts w:hint="eastAsia" w:ascii="仿宋_GB2312" w:hAnsi="仿宋_GB2312" w:eastAsia="仿宋_GB2312" w:cs="仿宋_GB2312"/>
                <w:color w:val="000000"/>
                <w:sz w:val="24"/>
                <w:lang w:eastAsia="zh-CN"/>
              </w:rPr>
              <w:t>完成社会消费品零售总额</w:t>
            </w:r>
            <w:r>
              <w:rPr>
                <w:rFonts w:hint="eastAsia" w:ascii="仿宋_GB2312" w:hAnsi="仿宋_GB2312" w:eastAsia="仿宋_GB2312" w:cs="仿宋_GB2312"/>
                <w:color w:val="000000"/>
                <w:sz w:val="24"/>
                <w:lang w:val="en-US" w:eastAsia="zh-CN"/>
              </w:rPr>
              <w:t>133.65亿元，</w:t>
            </w:r>
            <w:r>
              <w:rPr>
                <w:rFonts w:hint="eastAsia" w:ascii="仿宋_GB2312" w:hAnsi="仿宋_GB2312" w:eastAsia="仿宋_GB2312" w:cs="仿宋_GB2312"/>
                <w:sz w:val="24"/>
                <w:szCs w:val="24"/>
              </w:rPr>
              <w:t>全市六县市排名第二</w:t>
            </w:r>
            <w:r>
              <w:rPr>
                <w:rFonts w:hint="eastAsia" w:ascii="仿宋_GB2312" w:hAnsi="仿宋_GB2312" w:eastAsia="仿宋_GB2312" w:cs="仿宋_GB2312"/>
                <w:color w:val="000000"/>
                <w:sz w:val="24"/>
                <w:lang w:val="en-US" w:eastAsia="zh-CN"/>
              </w:rPr>
              <w:t>。</w:t>
            </w:r>
          </w:p>
          <w:p>
            <w:pPr>
              <w:autoSpaceDN w:val="0"/>
              <w:spacing w:line="40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目标4：完成省级储备粮轮换早籼稻2412吨，县级储备粮轮换早籼稻5500吨。</w:t>
            </w:r>
          </w:p>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66"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质量指标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三公经费控制率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rPr>
              <w:t>指标2：</w:t>
            </w:r>
            <w:r>
              <w:rPr>
                <w:rFonts w:hint="eastAsia" w:ascii="仿宋" w:hAnsi="仿宋" w:eastAsia="仿宋" w:cs="仿宋"/>
                <w:b w:val="0"/>
                <w:bCs w:val="0"/>
                <w:color w:val="000000"/>
                <w:sz w:val="24"/>
                <w:szCs w:val="24"/>
                <w:lang w:eastAsia="zh-CN"/>
              </w:rPr>
              <w:t>政府采购执行率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3：固定资产利用率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4：公务卡刷卡率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数量指标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财政供养人员控制率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指标2：</w:t>
            </w:r>
            <w:r>
              <w:rPr>
                <w:rFonts w:hint="eastAsia" w:ascii="仿宋" w:hAnsi="仿宋" w:eastAsia="仿宋" w:cs="仿宋"/>
                <w:b w:val="0"/>
                <w:bCs w:val="0"/>
                <w:color w:val="000000"/>
                <w:sz w:val="24"/>
                <w:szCs w:val="24"/>
                <w:lang w:eastAsia="zh-CN"/>
              </w:rPr>
              <w:t>“三公经费”变动率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w:t>
            </w:r>
            <w:r>
              <w:rPr>
                <w:rFonts w:hint="eastAsia" w:ascii="仿宋" w:hAnsi="仿宋" w:eastAsia="仿宋" w:cs="仿宋"/>
                <w:b w:val="0"/>
                <w:bCs w:val="0"/>
                <w:color w:val="000000"/>
                <w:sz w:val="24"/>
                <w:szCs w:val="24"/>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3：省级储备粮轮换</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完成轮换早籼稻</w:t>
            </w:r>
            <w:r>
              <w:rPr>
                <w:rFonts w:hint="eastAsia" w:ascii="仿宋" w:hAnsi="仿宋" w:eastAsia="仿宋" w:cs="仿宋"/>
                <w:b w:val="0"/>
                <w:bCs w:val="0"/>
                <w:color w:val="000000"/>
                <w:sz w:val="24"/>
                <w:szCs w:val="24"/>
                <w:lang w:val="en-US" w:eastAsia="zh-CN"/>
              </w:rPr>
              <w:t>2412吨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4：县级储备粮轮换</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eastAsia="zh-CN"/>
              </w:rPr>
              <w:t>完成轮换早籼稻</w:t>
            </w:r>
            <w:r>
              <w:rPr>
                <w:rFonts w:hint="eastAsia" w:ascii="仿宋" w:hAnsi="仿宋" w:eastAsia="仿宋" w:cs="仿宋"/>
                <w:b w:val="0"/>
                <w:bCs w:val="0"/>
                <w:color w:val="000000"/>
                <w:sz w:val="24"/>
                <w:szCs w:val="24"/>
                <w:lang w:val="en-US" w:eastAsia="zh-CN"/>
              </w:rPr>
              <w:t>5500吨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5：社会消费品零售总额</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完成</w:t>
            </w:r>
            <w:r>
              <w:rPr>
                <w:rFonts w:hint="eastAsia" w:ascii="仿宋" w:hAnsi="仿宋" w:eastAsia="仿宋" w:cs="仿宋"/>
                <w:b w:val="0"/>
                <w:bCs w:val="0"/>
                <w:color w:val="000000"/>
                <w:sz w:val="24"/>
                <w:szCs w:val="24"/>
                <w:lang w:val="en-US" w:eastAsia="zh-CN"/>
              </w:rPr>
              <w:t>133.65亿元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时效指标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val="en-US" w:eastAsia="zh-CN"/>
              </w:rPr>
              <w:t>省级储备粮轮换</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9月底已完成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8"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指标2：</w:t>
            </w:r>
            <w:r>
              <w:rPr>
                <w:rFonts w:hint="eastAsia" w:ascii="仿宋" w:hAnsi="仿宋" w:eastAsia="仿宋" w:cs="仿宋"/>
                <w:b w:val="0"/>
                <w:bCs w:val="0"/>
                <w:color w:val="000000"/>
                <w:sz w:val="24"/>
                <w:szCs w:val="24"/>
                <w:lang w:val="en-US" w:eastAsia="zh-CN"/>
              </w:rPr>
              <w:t>县级储备粮轮换</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9月底已完成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22"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成本指标</w:t>
            </w:r>
          </w:p>
        </w:tc>
        <w:tc>
          <w:tcPr>
            <w:tcW w:w="2709" w:type="dxa"/>
            <w:gridSpan w:val="4"/>
            <w:tcBorders>
              <w:top w:val="single" w:color="000000" w:sz="4" w:space="0"/>
              <w:left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部门整体支出绩效目标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2645.93</w:t>
            </w:r>
            <w:r>
              <w:rPr>
                <w:rFonts w:hint="eastAsia" w:ascii="仿宋" w:hAnsi="仿宋" w:eastAsia="仿宋" w:cs="仿宋"/>
                <w:b w:val="0"/>
                <w:bCs w:val="0"/>
                <w:color w:val="000000" w:themeColor="text1"/>
                <w:sz w:val="24"/>
                <w:szCs w:val="24"/>
                <w:lang w:eastAsia="zh-CN"/>
                <w14:textFill>
                  <w14:solidFill>
                    <w14:schemeClr w14:val="tx1"/>
                  </w14:solidFill>
                </w14:textFill>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25"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社会效益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指标1：执行国家最低价粮食收购政策，敞开收购，保护农民利益，使农民增产增收</w:t>
            </w:r>
          </w:p>
          <w:p>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lang w:eastAsia="zh-CN"/>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经济效益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指标1：“洞庭湖”大米品牌创造的经济效益</w:t>
            </w:r>
          </w:p>
          <w:p>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eastAsia="zh-CN"/>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生态效益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指标1：储粮工艺优化，节能减排增效降耗</w:t>
            </w:r>
          </w:p>
          <w:p>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eastAsia="zh-CN"/>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社会公众或服务对象满意度</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社会公众满意度</w:t>
            </w:r>
          </w:p>
          <w:p>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95%以上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965"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99分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965"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lang w:eastAsia="zh-CN"/>
              </w:rPr>
              <w:t>优秀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喻新亚</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局长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商务粮食局</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付六生</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副局长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商务粮食局</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杨晴</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副局长</w:t>
            </w:r>
            <w:r>
              <w:rPr>
                <w:rFonts w:hint="eastAsia" w:ascii="仿宋_GB2312" w:hAnsi="仿宋_GB2312" w:eastAsia="仿宋_GB2312" w:cs="仿宋_GB2312"/>
                <w:color w:val="000000"/>
                <w:sz w:val="24"/>
                <w:lang w:val="en-US" w:eastAsia="zh-CN"/>
              </w:rPr>
              <w:t xml:space="preserve"> </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商务粮食局</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许贵辉</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财务股长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商务粮食局</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冯桂</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办公室主任兼机关党委纪检委员</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商务粮食局</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22"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同意以上自评意见</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22"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zh-CN"/>
              </w:rPr>
              <w:t>同意以上自评意见</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部门（单位）负责人（签章）：</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bl>
    <w:p>
      <w:pPr>
        <w:rPr>
          <w:rFonts w:hint="eastAsia" w:eastAsia="仿宋_GB2312" w:cs="仿宋_GB2312"/>
          <w:bCs/>
          <w:sz w:val="28"/>
          <w:szCs w:val="28"/>
          <w:lang w:val="en-US" w:eastAsia="zh-CN"/>
        </w:rPr>
      </w:pPr>
      <w:r>
        <w:rPr>
          <w:rFonts w:hint="eastAsia" w:eastAsia="仿宋_GB2312" w:cs="仿宋_GB2312"/>
          <w:bCs/>
          <w:sz w:val="28"/>
          <w:szCs w:val="28"/>
        </w:rPr>
        <w:t>填报人（签名）：</w:t>
      </w:r>
      <w:r>
        <w:rPr>
          <w:rFonts w:eastAsia="仿宋_GB2312" w:cs="仿宋_GB2312"/>
          <w:bCs/>
          <w:sz w:val="28"/>
          <w:szCs w:val="28"/>
        </w:rPr>
        <w:t xml:space="preserve"> </w:t>
      </w:r>
      <w:r>
        <w:rPr>
          <w:rFonts w:hint="eastAsia" w:eastAsia="仿宋_GB2312" w:cs="仿宋_GB2312"/>
          <w:bCs/>
          <w:sz w:val="28"/>
          <w:szCs w:val="28"/>
          <w:lang w:eastAsia="zh-CN"/>
        </w:rPr>
        <w:t>何荣荣</w:t>
      </w:r>
      <w:r>
        <w:rPr>
          <w:rFonts w:eastAsia="仿宋_GB2312" w:cs="仿宋_GB2312"/>
          <w:bCs/>
          <w:sz w:val="28"/>
          <w:szCs w:val="28"/>
        </w:rPr>
        <w:t xml:space="preserve">                         </w:t>
      </w:r>
      <w:r>
        <w:rPr>
          <w:rFonts w:hint="eastAsia" w:eastAsia="仿宋_GB2312" w:cs="仿宋_GB2312"/>
          <w:bCs/>
          <w:sz w:val="28"/>
          <w:szCs w:val="28"/>
        </w:rPr>
        <w:t>联系电话：</w:t>
      </w:r>
      <w:r>
        <w:rPr>
          <w:rFonts w:hint="eastAsia" w:eastAsia="仿宋_GB2312" w:cs="仿宋_GB2312"/>
          <w:bCs/>
          <w:sz w:val="28"/>
          <w:szCs w:val="28"/>
          <w:lang w:val="en-US" w:eastAsia="zh-CN"/>
        </w:rPr>
        <w:t>13874051231</w:t>
      </w:r>
    </w:p>
    <w:tbl>
      <w:tblPr>
        <w:tblStyle w:val="4"/>
        <w:tblW w:w="95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bidi w:val="0"/>
              <w:adjustRightInd/>
              <w:snapToGrid/>
              <w:spacing w:line="460" w:lineRule="exact"/>
              <w:jc w:val="center"/>
              <w:rPr>
                <w:rFonts w:ascii="黑体" w:hAnsi="黑体" w:eastAsia="黑体" w:cs="黑体"/>
                <w:bCs/>
                <w:sz w:val="28"/>
                <w:szCs w:val="28"/>
              </w:rPr>
            </w:pPr>
            <w:r>
              <w:rPr>
                <w:rFonts w:hint="eastAsia" w:ascii="黑体" w:hAnsi="黑体" w:eastAsia="黑体" w:cs="黑体"/>
                <w:bCs/>
                <w:sz w:val="28"/>
                <w:szCs w:val="28"/>
              </w:rPr>
              <w:t>五、评价报告综述（文字部分）</w:t>
            </w:r>
          </w:p>
          <w:p>
            <w:pPr>
              <w:keepNext w:val="0"/>
              <w:keepLines w:val="0"/>
              <w:pageBreakBefore w:val="0"/>
              <w:widowControl/>
              <w:kinsoku/>
              <w:wordWrap/>
              <w:overflowPunct/>
              <w:topLinePunct w:val="0"/>
              <w:autoSpaceDE/>
              <w:bidi w:val="0"/>
              <w:adjustRightInd/>
              <w:snapToGrid/>
              <w:spacing w:line="460" w:lineRule="exact"/>
              <w:ind w:firstLine="1920" w:firstLineChars="600"/>
              <w:jc w:val="both"/>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岳阳县商务粮食局</w:t>
            </w:r>
            <w:r>
              <w:rPr>
                <w:rFonts w:hint="eastAsia" w:ascii="黑体" w:hAnsi="黑体" w:eastAsia="黑体" w:cs="黑体"/>
                <w:bCs/>
                <w:sz w:val="32"/>
                <w:szCs w:val="32"/>
                <w:lang w:val="en-US" w:eastAsia="zh-CN"/>
              </w:rPr>
              <w:t>2020年评价报告综述</w:t>
            </w:r>
          </w:p>
          <w:p>
            <w:pPr>
              <w:keepNext w:val="0"/>
              <w:keepLines w:val="0"/>
              <w:pageBreakBefore w:val="0"/>
              <w:widowControl/>
              <w:kinsoku/>
              <w:wordWrap/>
              <w:overflowPunct/>
              <w:topLinePunct w:val="0"/>
              <w:autoSpaceDE/>
              <w:bidi w:val="0"/>
              <w:adjustRightInd/>
              <w:snapToGrid/>
              <w:spacing w:line="460" w:lineRule="exact"/>
              <w:ind w:firstLine="562" w:firstLineChars="200"/>
              <w:outlineLvl w:val="9"/>
              <w:rPr>
                <w:rFonts w:hint="eastAsia" w:ascii="黑体" w:hAnsi="黑体" w:eastAsia="黑体" w:cs="黑体"/>
                <w:b/>
                <w:bCs/>
                <w:color w:val="000000" w:themeColor="text1"/>
                <w:kern w:val="0"/>
                <w:sz w:val="28"/>
                <w:szCs w:val="28"/>
                <w:highlight w:val="none"/>
                <w14:textFill>
                  <w14:solidFill>
                    <w14:schemeClr w14:val="tx1"/>
                  </w14:solidFill>
                </w14:textFill>
              </w:rPr>
            </w:pPr>
            <w:r>
              <w:rPr>
                <w:rFonts w:hint="eastAsia" w:ascii="黑体" w:hAnsi="黑体" w:eastAsia="黑体" w:cs="黑体"/>
                <w:b/>
                <w:bCs/>
                <w:color w:val="000000" w:themeColor="text1"/>
                <w:kern w:val="0"/>
                <w:sz w:val="28"/>
                <w:szCs w:val="28"/>
                <w:highlight w:val="none"/>
                <w14:textFill>
                  <w14:solidFill>
                    <w14:schemeClr w14:val="tx1"/>
                  </w14:solidFill>
                </w14:textFill>
              </w:rPr>
              <w:t>一、</w:t>
            </w:r>
            <w:r>
              <w:rPr>
                <w:rFonts w:hint="eastAsia" w:ascii="黑体" w:hAnsi="黑体" w:eastAsia="黑体" w:cs="黑体"/>
                <w:bCs/>
                <w:color w:val="000000" w:themeColor="text1"/>
                <w:sz w:val="28"/>
                <w:szCs w:val="28"/>
                <w14:textFill>
                  <w14:solidFill>
                    <w14:schemeClr w14:val="tx1"/>
                  </w14:solidFill>
                </w14:textFill>
              </w:rPr>
              <w:t>部门（单位）概况</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kern w:val="0"/>
                <w:sz w:val="28"/>
                <w:szCs w:val="28"/>
                <w:highlight w:val="none"/>
                <w14:textFill>
                  <w14:solidFill>
                    <w14:schemeClr w14:val="tx1"/>
                  </w14:solidFill>
                </w14:textFill>
              </w:rPr>
              <w:t>（一）</w:t>
            </w:r>
            <w:r>
              <w:rPr>
                <w:rFonts w:hint="eastAsia" w:ascii="仿宋" w:hAnsi="仿宋" w:eastAsia="仿宋" w:cs="仿宋"/>
                <w:bCs/>
                <w:color w:val="000000" w:themeColor="text1"/>
                <w:sz w:val="28"/>
                <w:szCs w:val="28"/>
                <w14:textFill>
                  <w14:solidFill>
                    <w14:schemeClr w14:val="tx1"/>
                  </w14:solidFill>
                </w14:textFill>
              </w:rPr>
              <w:t>部门（单位）基本情况</w:t>
            </w:r>
            <w:r>
              <w:rPr>
                <w:rFonts w:hint="eastAsia" w:ascii="仿宋" w:hAnsi="仿宋" w:eastAsia="仿宋" w:cs="仿宋"/>
                <w:color w:val="000000" w:themeColor="text1"/>
                <w:kern w:val="0"/>
                <w:sz w:val="28"/>
                <w:szCs w:val="28"/>
                <w:highlight w:val="none"/>
                <w:lang w:val="en-US" w:eastAsia="zh-CN"/>
                <w14:textFill>
                  <w14:solidFill>
                    <w14:schemeClr w14:val="tx1"/>
                  </w14:solidFill>
                </w14:textFill>
              </w:rPr>
              <w:t>:岳阳县商务粮食局主要负责</w:t>
            </w:r>
            <w:r>
              <w:rPr>
                <w:rFonts w:hint="eastAsia" w:ascii="仿宋" w:hAnsi="仿宋" w:eastAsia="仿宋" w:cs="仿宋"/>
                <w:color w:val="000000" w:themeColor="text1"/>
                <w:sz w:val="28"/>
                <w:szCs w:val="28"/>
                <w14:textFill>
                  <w14:solidFill>
                    <w14:schemeClr w14:val="tx1"/>
                  </w14:solidFill>
                </w14:textFill>
              </w:rPr>
              <w:t>贯彻执行国家国内外贸易、国际经济合作和区域经济合作的发展战略、政策；起草我县国内外贸易、招商引资、承结产业转移、对外援助、对外投资和对外经济合作的规范性文件草案、政策措施和实施办法，研究经济全球化、区域经济合作、现代流通方式的发展趋势和流通体制改革并提出建议；研究提出全县粮食宏观调控、总量平衡以及粮食流通的中长期规划和收储、动用县级储备粮的建议；拟订粮食流通体制改革方案并组织实施，推动国有粮食企业改革；研究提出现代粮食流通产业发展战略的建议并负责实施。商务粮食局</w:t>
            </w:r>
            <w:r>
              <w:rPr>
                <w:rFonts w:hint="eastAsia" w:ascii="仿宋" w:hAnsi="仿宋" w:eastAsia="仿宋" w:cs="仿宋"/>
                <w:color w:val="000000" w:themeColor="text1"/>
                <w:sz w:val="28"/>
                <w:szCs w:val="28"/>
                <w:lang w:eastAsia="zh-CN"/>
                <w14:textFill>
                  <w14:solidFill>
                    <w14:schemeClr w14:val="tx1"/>
                  </w14:solidFill>
                </w14:textFill>
              </w:rPr>
              <w:t>现有</w:t>
            </w:r>
            <w:r>
              <w:rPr>
                <w:rFonts w:hint="eastAsia" w:ascii="仿宋" w:hAnsi="仿宋" w:eastAsia="仿宋" w:cs="仿宋"/>
                <w:color w:val="000000" w:themeColor="text1"/>
                <w:sz w:val="28"/>
                <w:szCs w:val="28"/>
                <w14:textFill>
                  <w14:solidFill>
                    <w14:schemeClr w14:val="tx1"/>
                  </w14:solidFill>
                </w14:textFill>
              </w:rPr>
              <w:t>13个股室</w:t>
            </w:r>
            <w:r>
              <w:rPr>
                <w:rFonts w:hint="eastAsia" w:ascii="仿宋" w:hAnsi="仿宋" w:eastAsia="仿宋" w:cs="仿宋"/>
                <w:color w:val="000000" w:themeColor="text1"/>
                <w:sz w:val="28"/>
                <w:szCs w:val="28"/>
                <w:lang w:eastAsia="zh-CN"/>
                <w14:textFill>
                  <w14:solidFill>
                    <w14:schemeClr w14:val="tx1"/>
                  </w14:solidFill>
                </w14:textFill>
              </w:rPr>
              <w:t>和</w:t>
            </w:r>
            <w:r>
              <w:rPr>
                <w:rFonts w:hint="eastAsia" w:ascii="仿宋" w:hAnsi="仿宋" w:eastAsia="仿宋" w:cs="仿宋"/>
                <w:color w:val="000000" w:themeColor="text1"/>
                <w:sz w:val="28"/>
                <w:szCs w:val="28"/>
                <w:lang w:val="en-US" w:eastAsia="zh-CN"/>
                <w14:textFill>
                  <w14:solidFill>
                    <w14:schemeClr w14:val="tx1"/>
                  </w14:solidFill>
                </w14:textFill>
              </w:rPr>
              <w:t>5个</w:t>
            </w:r>
            <w:r>
              <w:rPr>
                <w:rFonts w:hint="eastAsia" w:ascii="仿宋" w:hAnsi="仿宋" w:eastAsia="仿宋" w:cs="仿宋"/>
                <w:color w:val="000000" w:themeColor="text1"/>
                <w:sz w:val="28"/>
                <w:szCs w:val="28"/>
                <w:shd w:val="clear" w:color="auto" w:fill="FFFFFF"/>
                <w14:textFill>
                  <w14:solidFill>
                    <w14:schemeClr w14:val="tx1"/>
                  </w14:solidFill>
                </w14:textFill>
              </w:rPr>
              <w:t>二级机构</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（仅一个二级机构财务独立核算），共</w:t>
            </w:r>
            <w:r>
              <w:rPr>
                <w:rFonts w:hint="eastAsia" w:ascii="仿宋" w:hAnsi="仿宋" w:eastAsia="仿宋" w:cs="仿宋"/>
                <w:color w:val="000000" w:themeColor="text1"/>
                <w:sz w:val="28"/>
                <w:szCs w:val="28"/>
                <w14:textFill>
                  <w14:solidFill>
                    <w14:schemeClr w14:val="tx1"/>
                  </w14:solidFill>
                </w14:textFill>
              </w:rPr>
              <w:t>有</w:t>
            </w:r>
            <w:r>
              <w:rPr>
                <w:rFonts w:hint="eastAsia" w:ascii="仿宋" w:hAnsi="仿宋" w:eastAsia="仿宋" w:cs="仿宋"/>
                <w:color w:val="000000" w:themeColor="text1"/>
                <w:sz w:val="28"/>
                <w:szCs w:val="28"/>
                <w:lang w:eastAsia="zh-CN"/>
                <w14:textFill>
                  <w14:solidFill>
                    <w14:schemeClr w14:val="tx1"/>
                  </w14:solidFill>
                </w14:textFill>
              </w:rPr>
              <w:t>在职人员</w:t>
            </w:r>
            <w:r>
              <w:rPr>
                <w:rFonts w:hint="eastAsia" w:ascii="仿宋" w:hAnsi="仿宋" w:eastAsia="仿宋" w:cs="仿宋"/>
                <w:color w:val="000000" w:themeColor="text1"/>
                <w:sz w:val="28"/>
                <w:szCs w:val="28"/>
                <w14:textFill>
                  <w14:solidFill>
                    <w14:schemeClr w14:val="tx1"/>
                  </w14:solidFill>
                </w14:textFill>
              </w:rPr>
              <w:t>2</w:t>
            </w:r>
            <w:r>
              <w:rPr>
                <w:rFonts w:hint="eastAsia" w:ascii="仿宋" w:hAnsi="仿宋" w:eastAsia="仿宋" w:cs="仿宋"/>
                <w:color w:val="000000" w:themeColor="text1"/>
                <w:sz w:val="28"/>
                <w:szCs w:val="28"/>
                <w:lang w:val="en-US" w:eastAsia="zh-CN"/>
                <w14:textFill>
                  <w14:solidFill>
                    <w14:schemeClr w14:val="tx1"/>
                  </w14:solidFill>
                </w14:textFill>
              </w:rPr>
              <w:t>70</w:t>
            </w:r>
            <w:r>
              <w:rPr>
                <w:rFonts w:hint="eastAsia" w:ascii="仿宋" w:hAnsi="仿宋" w:eastAsia="仿宋" w:cs="仿宋"/>
                <w:color w:val="000000" w:themeColor="text1"/>
                <w:sz w:val="28"/>
                <w:szCs w:val="28"/>
                <w14:textFill>
                  <w14:solidFill>
                    <w14:schemeClr w14:val="tx1"/>
                  </w14:solidFill>
                </w14:textFill>
              </w:rPr>
              <w:t>人，其中：在职</w:t>
            </w:r>
            <w:r>
              <w:rPr>
                <w:rFonts w:hint="eastAsia" w:ascii="仿宋" w:hAnsi="仿宋" w:eastAsia="仿宋" w:cs="仿宋"/>
                <w:color w:val="000000" w:themeColor="text1"/>
                <w:sz w:val="28"/>
                <w:szCs w:val="28"/>
                <w:lang w:val="en-US" w:eastAsia="zh-CN"/>
                <w14:textFill>
                  <w14:solidFill>
                    <w14:schemeClr w14:val="tx1"/>
                  </w14:solidFill>
                </w14:textFill>
              </w:rPr>
              <w:t>129</w:t>
            </w:r>
            <w:r>
              <w:rPr>
                <w:rFonts w:hint="eastAsia" w:ascii="仿宋" w:hAnsi="仿宋" w:eastAsia="仿宋" w:cs="仿宋"/>
                <w:color w:val="000000" w:themeColor="text1"/>
                <w:sz w:val="28"/>
                <w:szCs w:val="28"/>
                <w14:textFill>
                  <w14:solidFill>
                    <w14:schemeClr w14:val="tx1"/>
                  </w14:solidFill>
                </w14:textFill>
              </w:rPr>
              <w:t>人</w:t>
            </w:r>
            <w:r>
              <w:rPr>
                <w:rFonts w:hint="eastAsia" w:ascii="仿宋" w:hAnsi="仿宋" w:eastAsia="仿宋" w:cs="仿宋"/>
                <w:color w:val="000000" w:themeColor="text1"/>
                <w:sz w:val="28"/>
                <w:szCs w:val="28"/>
                <w:lang w:val="en-US" w:eastAsia="zh-CN"/>
                <w14:textFill>
                  <w14:solidFill>
                    <w14:schemeClr w14:val="tx1"/>
                  </w14:solidFill>
                </w14:textFill>
              </w:rPr>
              <w:t>,</w:t>
            </w:r>
            <w:bookmarkStart w:id="0" w:name="_GoBack"/>
            <w:bookmarkEnd w:id="0"/>
            <w:r>
              <w:rPr>
                <w:rFonts w:hint="eastAsia" w:ascii="仿宋" w:hAnsi="仿宋" w:eastAsia="仿宋" w:cs="仿宋"/>
                <w:color w:val="000000" w:themeColor="text1"/>
                <w:sz w:val="28"/>
                <w:szCs w:val="28"/>
                <w14:textFill>
                  <w14:solidFill>
                    <w14:schemeClr w14:val="tx1"/>
                  </w14:solidFill>
                </w14:textFill>
              </w:rPr>
              <w:t>退休</w:t>
            </w:r>
            <w:r>
              <w:rPr>
                <w:rFonts w:hint="eastAsia" w:ascii="仿宋" w:hAnsi="仿宋" w:eastAsia="仿宋" w:cs="仿宋"/>
                <w:color w:val="000000" w:themeColor="text1"/>
                <w:sz w:val="28"/>
                <w:szCs w:val="28"/>
                <w:lang w:val="en-US" w:eastAsia="zh-CN"/>
                <w14:textFill>
                  <w14:solidFill>
                    <w14:schemeClr w14:val="tx1"/>
                  </w14:solidFill>
                </w14:textFill>
              </w:rPr>
              <w:t>141</w:t>
            </w:r>
            <w:r>
              <w:rPr>
                <w:rFonts w:hint="eastAsia" w:ascii="仿宋" w:hAnsi="仿宋" w:eastAsia="仿宋" w:cs="仿宋"/>
                <w:color w:val="000000" w:themeColor="text1"/>
                <w:sz w:val="28"/>
                <w:szCs w:val="28"/>
                <w14:textFill>
                  <w14:solidFill>
                    <w14:schemeClr w14:val="tx1"/>
                  </w14:solidFill>
                </w14:textFill>
              </w:rPr>
              <w:t>人。</w:t>
            </w:r>
          </w:p>
          <w:p>
            <w:pPr>
              <w:keepNext w:val="0"/>
              <w:keepLines w:val="0"/>
              <w:pageBreakBefore w:val="0"/>
              <w:kinsoku/>
              <w:wordWrap/>
              <w:overflowPunct/>
              <w:topLinePunct w:val="0"/>
              <w:autoSpaceDE/>
              <w:autoSpaceDN w:val="0"/>
              <w:bidi w:val="0"/>
              <w:adjustRightInd/>
              <w:snapToGrid/>
              <w:spacing w:line="460" w:lineRule="exact"/>
              <w:ind w:firstLine="560" w:firstLineChars="200"/>
              <w:jc w:val="left"/>
              <w:textAlignment w:val="center"/>
              <w:outlineLvl w:val="9"/>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2020年工作目标任务：</w:t>
            </w:r>
          </w:p>
          <w:p>
            <w:pPr>
              <w:keepNext w:val="0"/>
              <w:keepLines w:val="0"/>
              <w:pageBreakBefore w:val="0"/>
              <w:kinsoku/>
              <w:wordWrap/>
              <w:overflowPunct/>
              <w:topLinePunct w:val="0"/>
              <w:autoSpaceDE/>
              <w:autoSpaceDN w:val="0"/>
              <w:bidi w:val="0"/>
              <w:adjustRightInd/>
              <w:snapToGrid/>
              <w:spacing w:line="460" w:lineRule="exact"/>
              <w:ind w:firstLine="560" w:firstLineChars="200"/>
              <w:jc w:val="left"/>
              <w:textAlignment w:val="center"/>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目标1：</w:t>
            </w:r>
            <w:r>
              <w:rPr>
                <w:rFonts w:hint="eastAsia" w:ascii="仿宋" w:hAnsi="仿宋" w:eastAsia="仿宋" w:cs="仿宋"/>
                <w:color w:val="000000" w:themeColor="text1"/>
                <w:sz w:val="28"/>
                <w:szCs w:val="28"/>
                <w:lang w:eastAsia="zh-CN"/>
                <w14:textFill>
                  <w14:solidFill>
                    <w14:schemeClr w14:val="tx1"/>
                  </w14:solidFill>
                </w14:textFill>
              </w:rPr>
              <w:t>全年预算申请到位和下达数量在</w:t>
            </w:r>
            <w:r>
              <w:rPr>
                <w:rFonts w:hint="eastAsia" w:ascii="仿宋" w:hAnsi="仿宋" w:eastAsia="仿宋" w:cs="仿宋"/>
                <w:color w:val="000000" w:themeColor="text1"/>
                <w:sz w:val="28"/>
                <w:szCs w:val="28"/>
                <w:lang w:val="en-US" w:eastAsia="zh-CN"/>
                <w14:textFill>
                  <w14:solidFill>
                    <w14:schemeClr w14:val="tx1"/>
                  </w14:solidFill>
                </w14:textFill>
              </w:rPr>
              <w:t>95%以上，三公经费变动率≤0。</w:t>
            </w:r>
          </w:p>
          <w:p>
            <w:pPr>
              <w:keepNext w:val="0"/>
              <w:keepLines w:val="0"/>
              <w:pageBreakBefore w:val="0"/>
              <w:kinsoku/>
              <w:wordWrap/>
              <w:overflowPunct/>
              <w:topLinePunct w:val="0"/>
              <w:autoSpaceDE/>
              <w:autoSpaceDN w:val="0"/>
              <w:bidi w:val="0"/>
              <w:adjustRightInd/>
              <w:snapToGrid/>
              <w:spacing w:line="460" w:lineRule="exact"/>
              <w:ind w:firstLine="560" w:firstLineChars="200"/>
              <w:jc w:val="left"/>
              <w:textAlignment w:val="center"/>
              <w:outlineLvl w:val="9"/>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目标2：</w:t>
            </w:r>
            <w:r>
              <w:rPr>
                <w:rFonts w:hint="eastAsia" w:ascii="仿宋" w:hAnsi="仿宋" w:eastAsia="仿宋" w:cs="仿宋"/>
                <w:color w:val="000000" w:themeColor="text1"/>
                <w:sz w:val="28"/>
                <w:szCs w:val="28"/>
                <w:lang w:eastAsia="zh-CN"/>
                <w14:textFill>
                  <w14:solidFill>
                    <w14:schemeClr w14:val="tx1"/>
                  </w14:solidFill>
                </w14:textFill>
              </w:rPr>
              <w:t>社会效益、经济效益、生态效益和社会公众满意度达到预期目标。</w:t>
            </w:r>
          </w:p>
          <w:p>
            <w:pPr>
              <w:keepNext w:val="0"/>
              <w:keepLines w:val="0"/>
              <w:pageBreakBefore w:val="0"/>
              <w:kinsoku/>
              <w:wordWrap/>
              <w:overflowPunct/>
              <w:topLinePunct w:val="0"/>
              <w:autoSpaceDE/>
              <w:autoSpaceDN w:val="0"/>
              <w:bidi w:val="0"/>
              <w:adjustRightInd/>
              <w:snapToGrid/>
              <w:spacing w:line="460" w:lineRule="exact"/>
              <w:ind w:firstLine="560" w:firstLineChars="200"/>
              <w:jc w:val="left"/>
              <w:textAlignment w:val="center"/>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目标3：</w:t>
            </w:r>
            <w:r>
              <w:rPr>
                <w:rFonts w:hint="eastAsia" w:ascii="仿宋" w:hAnsi="仿宋" w:eastAsia="仿宋" w:cs="仿宋"/>
                <w:color w:val="000000" w:themeColor="text1"/>
                <w:sz w:val="28"/>
                <w:szCs w:val="28"/>
                <w:lang w:eastAsia="zh-CN"/>
                <w14:textFill>
                  <w14:solidFill>
                    <w14:schemeClr w14:val="tx1"/>
                  </w14:solidFill>
                </w14:textFill>
              </w:rPr>
              <w:t>完成社会消费品零售总额</w:t>
            </w:r>
            <w:r>
              <w:rPr>
                <w:rFonts w:hint="eastAsia" w:ascii="仿宋" w:hAnsi="仿宋" w:eastAsia="仿宋" w:cs="仿宋"/>
                <w:color w:val="000000" w:themeColor="text1"/>
                <w:sz w:val="28"/>
                <w:szCs w:val="28"/>
                <w:lang w:val="en-US" w:eastAsia="zh-CN"/>
                <w14:textFill>
                  <w14:solidFill>
                    <w14:schemeClr w14:val="tx1"/>
                  </w14:solidFill>
                </w14:textFill>
              </w:rPr>
              <w:t>133.65亿元，</w:t>
            </w:r>
            <w:r>
              <w:rPr>
                <w:rFonts w:hint="eastAsia" w:ascii="仿宋" w:hAnsi="仿宋" w:eastAsia="仿宋" w:cs="仿宋"/>
                <w:color w:val="000000" w:themeColor="text1"/>
                <w:sz w:val="28"/>
                <w:szCs w:val="28"/>
                <w14:textFill>
                  <w14:solidFill>
                    <w14:schemeClr w14:val="tx1"/>
                  </w14:solidFill>
                </w14:textFill>
              </w:rPr>
              <w:t>全市六县市排名第二</w:t>
            </w:r>
            <w:r>
              <w:rPr>
                <w:rFonts w:hint="eastAsia" w:ascii="仿宋" w:hAnsi="仿宋" w:eastAsia="仿宋" w:cs="仿宋"/>
                <w:color w:val="000000" w:themeColor="text1"/>
                <w:sz w:val="28"/>
                <w:szCs w:val="28"/>
                <w:lang w:val="en-US" w:eastAsia="zh-CN"/>
                <w14:textFill>
                  <w14:solidFill>
                    <w14:schemeClr w14:val="tx1"/>
                  </w14:solidFill>
                </w14:textFill>
              </w:rPr>
              <w:t>。</w:t>
            </w:r>
          </w:p>
          <w:p>
            <w:pPr>
              <w:keepNext w:val="0"/>
              <w:keepLines w:val="0"/>
              <w:pageBreakBefore w:val="0"/>
              <w:kinsoku/>
              <w:wordWrap/>
              <w:overflowPunct/>
              <w:topLinePunct w:val="0"/>
              <w:autoSpaceDE/>
              <w:autoSpaceDN w:val="0"/>
              <w:bidi w:val="0"/>
              <w:adjustRightInd/>
              <w:snapToGrid/>
              <w:spacing w:line="460" w:lineRule="exact"/>
              <w:ind w:firstLine="560" w:firstLineChars="200"/>
              <w:jc w:val="left"/>
              <w:textAlignment w:val="center"/>
              <w:outlineLvl w:val="9"/>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目标4：完成省级储备粮轮换早籼稻2412吨，县级储备粮轮换早籼稻5500吨。</w:t>
            </w:r>
          </w:p>
          <w:p>
            <w:pPr>
              <w:keepNext w:val="0"/>
              <w:keepLines w:val="0"/>
              <w:pageBreakBefore w:val="0"/>
              <w:kinsoku/>
              <w:wordWrap/>
              <w:overflowPunct/>
              <w:topLinePunct w:val="0"/>
              <w:autoSpaceDE/>
              <w:autoSpaceDN w:val="0"/>
              <w:bidi w:val="0"/>
              <w:adjustRightInd/>
              <w:snapToGrid/>
              <w:spacing w:line="460" w:lineRule="exact"/>
              <w:ind w:firstLine="560" w:firstLineChars="200"/>
              <w:jc w:val="left"/>
              <w:textAlignment w:val="center"/>
              <w:outlineLvl w:val="9"/>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（二）</w:t>
            </w:r>
            <w:r>
              <w:rPr>
                <w:rFonts w:hint="eastAsia" w:ascii="仿宋" w:hAnsi="仿宋" w:eastAsia="仿宋" w:cs="仿宋"/>
                <w:bCs/>
                <w:color w:val="000000" w:themeColor="text1"/>
                <w:sz w:val="28"/>
                <w:szCs w:val="28"/>
                <w:lang w:val="en-US" w:eastAsia="zh-CN"/>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部门（单位）整体支出规模、使用方向和主要内容、涉及范围</w:t>
            </w:r>
            <w:r>
              <w:rPr>
                <w:rFonts w:hint="eastAsia" w:ascii="仿宋" w:hAnsi="仿宋" w:eastAsia="仿宋" w:cs="仿宋"/>
                <w:bCs/>
                <w:color w:val="000000" w:themeColor="text1"/>
                <w:sz w:val="28"/>
                <w:szCs w:val="28"/>
                <w:lang w:eastAsia="zh-CN"/>
                <w14:textFill>
                  <w14:solidFill>
                    <w14:schemeClr w14:val="tx1"/>
                  </w14:solidFill>
                </w14:textFill>
              </w:rPr>
              <w:t>：</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2020年岳阳县商务粮食局总支出2645.93万元，其中：基本支出2032. 42万元，包括</w:t>
            </w:r>
            <w:r>
              <w:rPr>
                <w:rFonts w:hint="eastAsia" w:ascii="仿宋" w:hAnsi="仿宋" w:eastAsia="仿宋" w:cs="仿宋"/>
                <w:color w:val="000000" w:themeColor="text1"/>
                <w:kern w:val="0"/>
                <w:sz w:val="28"/>
                <w:szCs w:val="28"/>
                <w:highlight w:val="none"/>
                <w:lang w:eastAsia="zh-CN"/>
                <w14:textFill>
                  <w14:solidFill>
                    <w14:schemeClr w14:val="tx1"/>
                  </w14:solidFill>
                </w14:textFill>
              </w:rPr>
              <w:t>工资福利支出</w:t>
            </w:r>
            <w:r>
              <w:rPr>
                <w:rFonts w:hint="eastAsia" w:ascii="仿宋" w:hAnsi="仿宋" w:eastAsia="仿宋" w:cs="仿宋"/>
                <w:color w:val="000000" w:themeColor="text1"/>
                <w:kern w:val="0"/>
                <w:sz w:val="28"/>
                <w:szCs w:val="28"/>
                <w:highlight w:val="none"/>
                <w:lang w:val="en-US" w:eastAsia="zh-CN"/>
                <w14:textFill>
                  <w14:solidFill>
                    <w14:schemeClr w14:val="tx1"/>
                  </w14:solidFill>
                </w14:textFill>
              </w:rPr>
              <w:t>、一般商品和服务支出、对个人和家庭的补助支出</w:t>
            </w:r>
            <w:r>
              <w:rPr>
                <w:rFonts w:hint="eastAsia" w:ascii="仿宋" w:hAnsi="仿宋" w:eastAsia="仿宋" w:cs="仿宋"/>
                <w:bCs/>
                <w:color w:val="000000" w:themeColor="text1"/>
                <w:sz w:val="28"/>
                <w:szCs w:val="28"/>
                <w:lang w:val="en-US" w:eastAsia="zh-CN"/>
                <w14:textFill>
                  <w14:solidFill>
                    <w14:schemeClr w14:val="tx1"/>
                  </w14:solidFill>
                </w14:textFill>
              </w:rPr>
              <w:t>；项目支出613.51万元，主要是县级粮食储备经费、破产企业改制经费、电子商务等项目支出。</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黑体" w:hAnsi="黑体" w:eastAsia="黑体" w:cs="黑体"/>
                <w:bCs/>
                <w:color w:val="000000" w:themeColor="text1"/>
                <w:sz w:val="28"/>
                <w:szCs w:val="28"/>
                <w14:textFill>
                  <w14:solidFill>
                    <w14:schemeClr w14:val="tx1"/>
                  </w14:solidFill>
                </w14:textFill>
              </w:rPr>
            </w:pPr>
            <w:r>
              <w:rPr>
                <w:rFonts w:hint="eastAsia" w:ascii="黑体" w:hAnsi="黑体" w:eastAsia="黑体" w:cs="黑体"/>
                <w:bCs/>
                <w:color w:val="000000" w:themeColor="text1"/>
                <w:sz w:val="28"/>
                <w:szCs w:val="28"/>
                <w14:textFill>
                  <w14:solidFill>
                    <w14:schemeClr w14:val="tx1"/>
                  </w14:solidFill>
                </w14:textFill>
              </w:rPr>
              <w:t>二、部门（单位）整体支出管理及使用情况</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（一）基本支出</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val="en-US"/>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2020年岳阳县商务粮食局基本支出2032.42万元,主要用于人员支出1488.77万元，公用支出543.65万元。全局系统“三公经费”支出1.03万元。年初我局制定了经费预算时，明确了“三公经费”控制标准。</w:t>
            </w:r>
          </w:p>
          <w:p>
            <w:pPr>
              <w:keepNext w:val="0"/>
              <w:keepLines w:val="0"/>
              <w:pageBreakBefore w:val="0"/>
              <w:numPr>
                <w:ilvl w:val="0"/>
                <w:numId w:val="0"/>
              </w:numPr>
              <w:kinsoku/>
              <w:wordWrap/>
              <w:overflowPunct/>
              <w:topLinePunct w:val="0"/>
              <w:autoSpaceDE/>
              <w:bidi w:val="0"/>
              <w:adjustRightInd/>
              <w:snapToGrid/>
              <w:spacing w:line="460" w:lineRule="exact"/>
              <w:ind w:leftChars="0" w:firstLine="560" w:firstLineChars="200"/>
              <w:outlineLvl w:val="9"/>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lang w:eastAsia="zh-CN"/>
                <w14:textFill>
                  <w14:solidFill>
                    <w14:schemeClr w14:val="tx1"/>
                  </w14:solidFill>
                </w14:textFill>
              </w:rPr>
              <w:t>（二）</w:t>
            </w:r>
            <w:r>
              <w:rPr>
                <w:rFonts w:hint="eastAsia" w:ascii="仿宋" w:hAnsi="仿宋" w:eastAsia="仿宋" w:cs="仿宋"/>
                <w:bCs/>
                <w:color w:val="000000" w:themeColor="text1"/>
                <w:sz w:val="28"/>
                <w:szCs w:val="28"/>
                <w14:textFill>
                  <w14:solidFill>
                    <w14:schemeClr w14:val="tx1"/>
                  </w14:solidFill>
                </w14:textFill>
              </w:rPr>
              <w:t>专项支出</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FF0000"/>
                <w:sz w:val="28"/>
                <w:szCs w:val="28"/>
                <w:lang w:val="en-US" w:eastAsia="zh-CN"/>
              </w:rPr>
              <w:t xml:space="preserve"> </w:t>
            </w:r>
            <w:r>
              <w:rPr>
                <w:rFonts w:hint="eastAsia" w:ascii="仿宋" w:hAnsi="仿宋" w:eastAsia="仿宋" w:cs="仿宋"/>
                <w:bCs/>
                <w:color w:val="000000" w:themeColor="text1"/>
                <w:sz w:val="28"/>
                <w:szCs w:val="28"/>
                <w:lang w:val="en-US" w:eastAsia="zh-CN"/>
                <w14:textFill>
                  <w14:solidFill>
                    <w14:schemeClr w14:val="tx1"/>
                  </w14:solidFill>
                </w14:textFill>
              </w:rPr>
              <w:t xml:space="preserve"> 2020年我局项目支出613.51万元，主要是：县级粮食储备经费170万元</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用于省级储备粮</w:t>
            </w:r>
            <w:r>
              <w:rPr>
                <w:rFonts w:hint="eastAsia" w:ascii="仿宋" w:hAnsi="仿宋" w:eastAsia="仿宋" w:cs="仿宋"/>
                <w:color w:val="000000" w:themeColor="text1"/>
                <w:sz w:val="28"/>
                <w:szCs w:val="28"/>
                <w:shd w:val="clear" w:color="auto" w:fill="FFFFFF"/>
                <w:lang w:val="en-US" w:eastAsia="zh-CN"/>
                <w14:textFill>
                  <w14:solidFill>
                    <w14:schemeClr w14:val="tx1"/>
                  </w14:solidFill>
                </w14:textFill>
              </w:rPr>
              <w:t>2412吨和县级储备粮5500吨的收购、保管、轮换和利息费用的补贴；</w:t>
            </w:r>
            <w:r>
              <w:rPr>
                <w:rFonts w:hint="eastAsia" w:ascii="仿宋" w:hAnsi="仿宋" w:eastAsia="仿宋" w:cs="仿宋"/>
                <w:bCs/>
                <w:color w:val="000000" w:themeColor="text1"/>
                <w:sz w:val="28"/>
                <w:szCs w:val="28"/>
                <w:lang w:val="en-US" w:eastAsia="zh-CN"/>
                <w14:textFill>
                  <w14:solidFill>
                    <w14:schemeClr w14:val="tx1"/>
                  </w14:solidFill>
                </w14:textFill>
              </w:rPr>
              <w:t>改制经费131万元</w:t>
            </w:r>
            <w:r>
              <w:rPr>
                <w:rFonts w:hint="eastAsia" w:ascii="仿宋" w:hAnsi="仿宋" w:eastAsia="仿宋" w:cs="仿宋"/>
                <w:color w:val="000000" w:themeColor="text1"/>
                <w:sz w:val="28"/>
                <w:szCs w:val="28"/>
                <w:shd w:val="clear" w:color="auto" w:fill="FFFFFF"/>
                <w:lang w:eastAsia="zh-CN"/>
                <w14:textFill>
                  <w14:solidFill>
                    <w14:schemeClr w14:val="tx1"/>
                  </w14:solidFill>
                </w14:textFill>
              </w:rPr>
              <w:t>用于破产改制粮食企业员工身份置换费用；</w:t>
            </w:r>
            <w:r>
              <w:rPr>
                <w:rFonts w:hint="eastAsia" w:ascii="仿宋" w:hAnsi="仿宋" w:eastAsia="仿宋" w:cs="仿宋"/>
                <w:bCs/>
                <w:color w:val="000000" w:themeColor="text1"/>
                <w:sz w:val="28"/>
                <w:szCs w:val="28"/>
                <w:lang w:val="en-US" w:eastAsia="zh-CN"/>
                <w14:textFill>
                  <w14:solidFill>
                    <w14:schemeClr w14:val="tx1"/>
                  </w14:solidFill>
                </w14:textFill>
              </w:rPr>
              <w:t>电子商务经费144万元用于农村电商公共服务中心场地租金及运营费、电子商务平台建设、运营、培训和品牌培育推广等；外贸企业奖励资金、外贸发展资金及“四上”项目等支出168.51万元。</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黑体" w:hAnsi="黑体" w:eastAsia="黑体" w:cs="黑体"/>
                <w:bCs/>
                <w:color w:val="000000" w:themeColor="text1"/>
                <w:sz w:val="28"/>
                <w:szCs w:val="28"/>
                <w14:textFill>
                  <w14:solidFill>
                    <w14:schemeClr w14:val="tx1"/>
                  </w14:solidFill>
                </w14:textFill>
              </w:rPr>
            </w:pPr>
            <w:r>
              <w:rPr>
                <w:rFonts w:hint="eastAsia" w:ascii="黑体" w:hAnsi="黑体" w:eastAsia="黑体" w:cs="黑体"/>
                <w:bCs/>
                <w:color w:val="000000" w:themeColor="text1"/>
                <w:sz w:val="28"/>
                <w:szCs w:val="28"/>
                <w14:textFill>
                  <w14:solidFill>
                    <w14:schemeClr w14:val="tx1"/>
                  </w14:solidFill>
                </w14:textFill>
              </w:rPr>
              <w:t>三、部门（单位）专项组织实施情况</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（一）专项组织情况分析</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000000" w:themeColor="text1"/>
                <w:sz w:val="28"/>
                <w:szCs w:val="28"/>
                <w:lang w:eastAsia="zh-CN"/>
                <w14:textFill>
                  <w14:solidFill>
                    <w14:schemeClr w14:val="tx1"/>
                  </w14:solidFill>
                </w14:textFill>
              </w:rPr>
              <w:t>我局根据上级有关部门对专项资金的管理和使用要求，根据业务需要和工作要求，采取机关各股室、二级机构分工合作的办法，对有关专项工作进行组织管理。</w:t>
            </w:r>
            <w:r>
              <w:rPr>
                <w:rFonts w:hint="eastAsia" w:ascii="仿宋" w:hAnsi="仿宋" w:eastAsia="仿宋" w:cs="仿宋"/>
                <w:bCs/>
                <w:color w:val="000000" w:themeColor="text1"/>
                <w:sz w:val="28"/>
                <w:szCs w:val="28"/>
                <w:lang w:val="en-US" w:eastAsia="zh-CN"/>
                <w14:textFill>
                  <w14:solidFill>
                    <w14:schemeClr w14:val="tx1"/>
                  </w14:solidFill>
                </w14:textFill>
              </w:rPr>
              <w:t xml:space="preserve">              </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1、</w:t>
            </w:r>
            <w:r>
              <w:rPr>
                <w:rFonts w:hint="eastAsia" w:ascii="仿宋" w:hAnsi="仿宋" w:eastAsia="仿宋" w:cs="仿宋"/>
                <w:bCs/>
                <w:color w:val="000000" w:themeColor="text1"/>
                <w:sz w:val="28"/>
                <w:szCs w:val="28"/>
                <w:lang w:eastAsia="zh-CN"/>
                <w14:textFill>
                  <w14:solidFill>
                    <w14:schemeClr w14:val="tx1"/>
                  </w14:solidFill>
                </w14:textFill>
              </w:rPr>
              <w:t>县级粮食储备项目由局粮食调控和储备股负责组织，荣家湾粮库具体实施；</w:t>
            </w:r>
            <w:r>
              <w:rPr>
                <w:rFonts w:hint="eastAsia" w:ascii="仿宋" w:hAnsi="仿宋" w:eastAsia="仿宋" w:cs="仿宋"/>
                <w:bCs/>
                <w:color w:val="000000" w:themeColor="text1"/>
                <w:sz w:val="28"/>
                <w:szCs w:val="28"/>
                <w:lang w:val="en-US" w:eastAsia="zh-CN"/>
                <w14:textFill>
                  <w14:solidFill>
                    <w14:schemeClr w14:val="tx1"/>
                  </w14:solidFill>
                </w14:textFill>
              </w:rPr>
              <w:t xml:space="preserve"> </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2、</w:t>
            </w:r>
            <w:r>
              <w:rPr>
                <w:rFonts w:hint="eastAsia" w:ascii="仿宋" w:hAnsi="仿宋" w:eastAsia="仿宋" w:cs="仿宋"/>
                <w:bCs/>
                <w:color w:val="000000" w:themeColor="text1"/>
                <w:sz w:val="28"/>
                <w:szCs w:val="28"/>
                <w:lang w:eastAsia="zh-CN"/>
                <w14:textFill>
                  <w14:solidFill>
                    <w14:schemeClr w14:val="tx1"/>
                  </w14:solidFill>
                </w14:textFill>
              </w:rPr>
              <w:t>破产改制项目由局粮食企业资产服务中心负责，购销公司配合开展工作。</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3、电子商务项目由局电子商务股负责农村电商公共服务中心、各个乡镇农村淘宝电商平台、邮乐购村级电商服务站和供销e家惠农服务站具体开展工作。</w:t>
            </w:r>
          </w:p>
          <w:p>
            <w:pPr>
              <w:keepNext w:val="0"/>
              <w:keepLines w:val="0"/>
              <w:pageBreakBefore w:val="0"/>
              <w:numPr>
                <w:ilvl w:val="0"/>
                <w:numId w:val="2"/>
              </w:numPr>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专项管理情况分析</w:t>
            </w:r>
          </w:p>
          <w:p>
            <w:pPr>
              <w:keepNext w:val="0"/>
              <w:keepLines w:val="0"/>
              <w:pageBreakBefore w:val="0"/>
              <w:numPr>
                <w:ilvl w:val="0"/>
                <w:numId w:val="3"/>
              </w:numPr>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专项资金安排落实、总投入等情况分析</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为了加强对专项资金的管理，有效控制项目资金的投向和使用，最大限度地发挥项目资金使用效益，我局对专项资金进行全程跟踪管理，严格按照相关的资金管理制度和财务审批程序拨付和使用资金，确保了资金安全。在账务管理上，按项目单独设立专账，做到了专款专用:在资金拨付时，全部项目资金实行财政国库集中支付，全部采用转账方式进行支付，确保了资金的安全使用:在工程款拨付上，我局由分管局长、项目承担单位负责人和现场管理人员严格按照所签定的施工合同，根据工程的施工进度严格审查、分批付款;在资金管理上，严格按照省、市有关文件规定和国家有关财纪法律、法规规定的内容开支各项费用，随时掌握资金动态和使用范围，严格按照预算合理控制开支额度，使项目专项资金得到充分、合理、有效地使用。</w:t>
            </w:r>
            <w:r>
              <w:rPr>
                <w:rFonts w:hint="eastAsia" w:ascii="仿宋" w:hAnsi="仿宋" w:eastAsia="仿宋" w:cs="仿宋"/>
                <w:bCs/>
                <w:color w:val="000000" w:themeColor="text1"/>
                <w:sz w:val="28"/>
                <w:szCs w:val="28"/>
                <w:lang w:val="en-US" w:eastAsia="zh-CN"/>
                <w14:textFill>
                  <w14:solidFill>
                    <w14:schemeClr w14:val="tx1"/>
                  </w14:solidFill>
                </w14:textFill>
              </w:rPr>
              <w:t>2020年项目预算经费365万元，其中：县级粮食储备经费170万元，改制经费131万元。</w:t>
            </w:r>
          </w:p>
          <w:p>
            <w:pPr>
              <w:keepNext w:val="0"/>
              <w:keepLines w:val="0"/>
              <w:pageBreakBefore w:val="0"/>
              <w:numPr>
                <w:ilvl w:val="0"/>
                <w:numId w:val="3"/>
              </w:numPr>
              <w:kinsoku/>
              <w:wordWrap/>
              <w:overflowPunct/>
              <w:topLinePunct w:val="0"/>
              <w:autoSpaceDE/>
              <w:bidi w:val="0"/>
              <w:adjustRightInd/>
              <w:snapToGrid/>
              <w:spacing w:line="460" w:lineRule="exact"/>
              <w:ind w:left="0" w:leftChars="0" w:firstLine="560" w:firstLineChars="200"/>
              <w:outlineLvl w:val="9"/>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专项资金实际使用情况分析</w:t>
            </w:r>
          </w:p>
          <w:p>
            <w:pPr>
              <w:keepNext w:val="0"/>
              <w:keepLines w:val="0"/>
              <w:pageBreakBefore w:val="0"/>
              <w:numPr>
                <w:ilvl w:val="0"/>
                <w:numId w:val="0"/>
              </w:numPr>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2020年专项资金实际使用情况：县级粮食储备经费预算拨付170万元，实际使用175.76万元；改制经费预算拨付131万元，实际使用135.61万元。由于财政预算经费有限，局机关财力不足，致使项目经费短缺。</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3、专项资金管理情况分析</w:t>
            </w:r>
          </w:p>
          <w:p>
            <w:pPr>
              <w:keepNext w:val="0"/>
              <w:keepLines w:val="0"/>
              <w:pageBreakBefore w:val="0"/>
              <w:kinsoku/>
              <w:wordWrap/>
              <w:overflowPunct/>
              <w:topLinePunct w:val="0"/>
              <w:autoSpaceDE/>
              <w:bidi w:val="0"/>
              <w:adjustRightInd/>
              <w:snapToGrid/>
              <w:spacing w:line="460" w:lineRule="exact"/>
              <w:ind w:firstLine="560" w:firstLineChars="200"/>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为了加强对专项资金的管理，做到依法、依规、合理地安排和使用专项资金，根据上级主管部门和相关部门对专项资金的规定，我局从建立健全专项资金管理制度、资金安排、资金监督和管理、资金使用的绩效评价等方面入手，全面加强对专项资金的管理，先后制订了《专项资金使用管理暂行办法》等资金管理制度，从资金申请、安排、拨付、审批、监管等多方面进行管理，以确保项目资金在健全、有序的管理制度下运行。</w:t>
            </w:r>
          </w:p>
          <w:p>
            <w:pPr>
              <w:keepNext w:val="0"/>
              <w:keepLines w:val="0"/>
              <w:pageBreakBefore w:val="0"/>
              <w:numPr>
                <w:ilvl w:val="0"/>
                <w:numId w:val="4"/>
              </w:numPr>
              <w:kinsoku/>
              <w:wordWrap/>
              <w:overflowPunct/>
              <w:topLinePunct w:val="0"/>
              <w:autoSpaceDE/>
              <w:bidi w:val="0"/>
              <w:adjustRightInd/>
              <w:snapToGrid/>
              <w:spacing w:line="460" w:lineRule="exact"/>
              <w:ind w:firstLine="560" w:firstLineChars="200"/>
              <w:outlineLvl w:val="9"/>
              <w:rPr>
                <w:rFonts w:hint="eastAsia" w:ascii="黑体" w:hAnsi="黑体" w:eastAsia="黑体" w:cs="黑体"/>
                <w:bCs/>
                <w:color w:val="000000" w:themeColor="text1"/>
                <w:sz w:val="28"/>
                <w:szCs w:val="28"/>
                <w14:textFill>
                  <w14:solidFill>
                    <w14:schemeClr w14:val="tx1"/>
                  </w14:solidFill>
                </w14:textFill>
              </w:rPr>
            </w:pPr>
            <w:r>
              <w:rPr>
                <w:rFonts w:hint="eastAsia" w:ascii="黑体" w:hAnsi="黑体" w:eastAsia="黑体" w:cs="黑体"/>
                <w:bCs/>
                <w:color w:val="000000" w:themeColor="text1"/>
                <w:sz w:val="28"/>
                <w:szCs w:val="28"/>
                <w14:textFill>
                  <w14:solidFill>
                    <w14:schemeClr w14:val="tx1"/>
                  </w14:solidFill>
                </w14:textFill>
              </w:rPr>
              <w:t>部门（单位）整体支出绩效情况</w:t>
            </w:r>
          </w:p>
          <w:p>
            <w:pPr>
              <w:keepNext w:val="0"/>
              <w:keepLines w:val="0"/>
              <w:pageBreakBefore w:val="0"/>
              <w:numPr>
                <w:ilvl w:val="0"/>
                <w:numId w:val="0"/>
              </w:numPr>
              <w:kinsoku/>
              <w:wordWrap/>
              <w:overflowPunct/>
              <w:topLinePunct w:val="0"/>
              <w:autoSpaceDE/>
              <w:bidi w:val="0"/>
              <w:adjustRightInd/>
              <w:snapToGrid/>
              <w:spacing w:line="460" w:lineRule="exact"/>
              <w:ind w:firstLine="560" w:firstLineChars="200"/>
              <w:outlineLvl w:val="9"/>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一、经济效益：</w:t>
            </w:r>
            <w:r>
              <w:rPr>
                <w:rFonts w:hint="eastAsia" w:ascii="仿宋" w:hAnsi="仿宋" w:eastAsia="仿宋" w:cs="仿宋"/>
                <w:color w:val="000000" w:themeColor="text1"/>
                <w:sz w:val="28"/>
                <w:szCs w:val="28"/>
                <w14:textFill>
                  <w14:solidFill>
                    <w14:schemeClr w14:val="tx1"/>
                  </w14:solidFill>
                </w14:textFill>
              </w:rPr>
              <w:t>“洞庭湖”大米品牌创造的经济效益</w:t>
            </w:r>
            <w:r>
              <w:rPr>
                <w:rFonts w:hint="eastAsia" w:ascii="仿宋" w:hAnsi="仿宋" w:eastAsia="仿宋" w:cs="仿宋"/>
                <w:color w:val="000000" w:themeColor="text1"/>
                <w:sz w:val="28"/>
                <w:szCs w:val="28"/>
                <w:lang w:eastAsia="zh-CN"/>
                <w14:textFill>
                  <w14:solidFill>
                    <w14:schemeClr w14:val="tx1"/>
                  </w14:solidFill>
                </w14:textFill>
              </w:rPr>
              <w:t>明显。</w:t>
            </w:r>
          </w:p>
          <w:p>
            <w:pPr>
              <w:keepNext w:val="0"/>
              <w:keepLines w:val="0"/>
              <w:pageBreakBefore w:val="0"/>
              <w:kinsoku/>
              <w:wordWrap/>
              <w:overflowPunct/>
              <w:topLinePunct w:val="0"/>
              <w:autoSpaceDE/>
              <w:bidi w:val="0"/>
              <w:adjustRightInd/>
              <w:snapToGrid/>
              <w:spacing w:line="460" w:lineRule="exact"/>
              <w:ind w:firstLine="560" w:firstLineChars="200"/>
              <w:jc w:val="both"/>
              <w:outlineLvl w:val="9"/>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二、</w:t>
            </w:r>
            <w:r>
              <w:rPr>
                <w:rFonts w:hint="eastAsia" w:ascii="仿宋" w:hAnsi="仿宋" w:eastAsia="仿宋" w:cs="仿宋"/>
                <w:color w:val="000000" w:themeColor="text1"/>
                <w:sz w:val="28"/>
                <w:szCs w:val="28"/>
                <w14:textFill>
                  <w14:solidFill>
                    <w14:schemeClr w14:val="tx1"/>
                  </w14:solidFill>
                </w14:textFill>
              </w:rPr>
              <w:t>社会效益</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执行国家最低价粮食收购政策，敞开收购，保护农民利益，使农民增产增收</w:t>
            </w:r>
            <w:r>
              <w:rPr>
                <w:rFonts w:hint="eastAsia" w:ascii="仿宋" w:hAnsi="仿宋" w:eastAsia="仿宋" w:cs="仿宋"/>
                <w:color w:val="000000" w:themeColor="text1"/>
                <w:sz w:val="28"/>
                <w:szCs w:val="28"/>
                <w:lang w:eastAsia="zh-CN"/>
                <w14:textFill>
                  <w14:solidFill>
                    <w14:schemeClr w14:val="tx1"/>
                  </w14:solidFill>
                </w14:textFill>
              </w:rPr>
              <w:t>。稳定粮食市场，保障粮食安全，保证县域内居民口粮供应，提高抗灾能力。</w:t>
            </w:r>
          </w:p>
          <w:p>
            <w:pPr>
              <w:keepNext w:val="0"/>
              <w:keepLines w:val="0"/>
              <w:pageBreakBefore w:val="0"/>
              <w:numPr>
                <w:ilvl w:val="0"/>
                <w:numId w:val="0"/>
              </w:numPr>
              <w:kinsoku/>
              <w:wordWrap/>
              <w:overflowPunct/>
              <w:topLinePunct w:val="0"/>
              <w:autoSpaceDE/>
              <w:bidi w:val="0"/>
              <w:adjustRightInd/>
              <w:snapToGrid/>
              <w:spacing w:line="460" w:lineRule="exact"/>
              <w:ind w:firstLine="560" w:firstLineChars="200"/>
              <w:jc w:val="both"/>
              <w:outlineLvl w:val="9"/>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三、</w:t>
            </w:r>
            <w:r>
              <w:rPr>
                <w:rFonts w:hint="eastAsia" w:ascii="仿宋" w:hAnsi="仿宋" w:eastAsia="仿宋" w:cs="仿宋"/>
                <w:color w:val="000000" w:themeColor="text1"/>
                <w:sz w:val="28"/>
                <w:szCs w:val="28"/>
                <w14:textFill>
                  <w14:solidFill>
                    <w14:schemeClr w14:val="tx1"/>
                  </w14:solidFill>
                </w14:textFill>
              </w:rPr>
              <w:t>生态效益</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储粮工艺优化，节能减排增效降耗</w:t>
            </w:r>
            <w:r>
              <w:rPr>
                <w:rFonts w:hint="eastAsia" w:ascii="仿宋" w:hAnsi="仿宋" w:eastAsia="仿宋" w:cs="仿宋"/>
                <w:color w:val="000000" w:themeColor="text1"/>
                <w:sz w:val="28"/>
                <w:szCs w:val="28"/>
                <w:lang w:eastAsia="zh-CN"/>
                <w14:textFill>
                  <w14:solidFill>
                    <w14:schemeClr w14:val="tx1"/>
                  </w14:solidFill>
                </w14:textFill>
              </w:rPr>
              <w:t>。</w:t>
            </w:r>
          </w:p>
          <w:p>
            <w:pPr>
              <w:keepNext w:val="0"/>
              <w:keepLines w:val="0"/>
              <w:pageBreakBefore w:val="0"/>
              <w:numPr>
                <w:ilvl w:val="0"/>
                <w:numId w:val="0"/>
              </w:numPr>
              <w:kinsoku/>
              <w:wordWrap/>
              <w:overflowPunct/>
              <w:topLinePunct w:val="0"/>
              <w:autoSpaceDE/>
              <w:bidi w:val="0"/>
              <w:adjustRightInd/>
              <w:snapToGrid/>
              <w:spacing w:line="460" w:lineRule="exact"/>
              <w:ind w:firstLine="560" w:firstLineChars="200"/>
              <w:outlineLvl w:val="9"/>
              <w:rPr>
                <w:rFonts w:hint="eastAsia" w:ascii="黑体" w:hAnsi="黑体" w:eastAsia="黑体" w:cs="黑体"/>
                <w:bCs/>
                <w:color w:val="000000" w:themeColor="text1"/>
                <w:sz w:val="28"/>
                <w:szCs w:val="28"/>
                <w14:textFill>
                  <w14:solidFill>
                    <w14:schemeClr w14:val="tx1"/>
                  </w14:solidFill>
                </w14:textFill>
              </w:rPr>
            </w:pPr>
            <w:r>
              <w:rPr>
                <w:rFonts w:hint="eastAsia" w:ascii="黑体" w:hAnsi="黑体" w:eastAsia="黑体" w:cs="黑体"/>
                <w:bCs/>
                <w:color w:val="000000" w:themeColor="text1"/>
                <w:sz w:val="28"/>
                <w:szCs w:val="28"/>
                <w:lang w:eastAsia="zh-CN"/>
                <w14:textFill>
                  <w14:solidFill>
                    <w14:schemeClr w14:val="tx1"/>
                  </w14:solidFill>
                </w14:textFill>
              </w:rPr>
              <w:t>五、</w:t>
            </w:r>
            <w:r>
              <w:rPr>
                <w:rFonts w:hint="eastAsia" w:ascii="黑体" w:hAnsi="黑体" w:eastAsia="黑体" w:cs="黑体"/>
                <w:bCs/>
                <w:color w:val="000000" w:themeColor="text1"/>
                <w:sz w:val="28"/>
                <w:szCs w:val="28"/>
                <w14:textFill>
                  <w14:solidFill>
                    <w14:schemeClr w14:val="tx1"/>
                  </w14:solidFill>
                </w14:textFill>
              </w:rPr>
              <w:t>存在的主要问题</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 xml:space="preserve"> </w:t>
            </w:r>
            <w:r>
              <w:rPr>
                <w:rFonts w:hint="eastAsia" w:ascii="仿宋" w:hAnsi="仿宋" w:eastAsia="仿宋" w:cs="仿宋"/>
                <w:b w:val="0"/>
                <w:bCs w:val="0"/>
                <w:color w:val="000000" w:themeColor="text1"/>
                <w:sz w:val="28"/>
                <w:szCs w:val="28"/>
                <w:lang w:val="en-US" w:eastAsia="zh-CN"/>
                <w14:textFill>
                  <w14:solidFill>
                    <w14:schemeClr w14:val="tx1"/>
                  </w14:solidFill>
                </w14:textFill>
              </w:rPr>
              <w:t>（一）企业发展不平衡，影响各项经济指标。</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1、餐住批零企业规模小，新发展少。我县餐住企业以老牌企业为主，新发展的企业不多；缺少体量较大的批零企业，成长型企业较少。</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2、外贸企业主体不强，数量少。</w:t>
            </w:r>
            <w:r>
              <w:rPr>
                <w:rFonts w:hint="eastAsia" w:ascii="仿宋" w:hAnsi="仿宋" w:eastAsia="仿宋" w:cs="仿宋"/>
                <w:b w:val="0"/>
                <w:bCs w:val="0"/>
                <w:color w:val="000000" w:themeColor="text1"/>
                <w:sz w:val="28"/>
                <w:szCs w:val="28"/>
                <w14:textFill>
                  <w14:solidFill>
                    <w14:schemeClr w14:val="tx1"/>
                  </w14:solidFill>
                </w14:textFill>
              </w:rPr>
              <w:t>我县建县较晚，工业基础薄弱，发展开放型经济起步较迟</w:t>
            </w:r>
            <w:r>
              <w:rPr>
                <w:rFonts w:hint="eastAsia" w:ascii="仿宋" w:hAnsi="仿宋" w:eastAsia="仿宋" w:cs="仿宋"/>
                <w:b w:val="0"/>
                <w:bCs w:val="0"/>
                <w:color w:val="000000" w:themeColor="text1"/>
                <w:sz w:val="28"/>
                <w:szCs w:val="28"/>
                <w:lang w:eastAsia="zh-CN"/>
                <w14:textFill>
                  <w14:solidFill>
                    <w14:schemeClr w14:val="tx1"/>
                  </w14:solidFill>
                </w14:textFill>
              </w:rPr>
              <w:t>。我县</w:t>
            </w:r>
            <w:r>
              <w:rPr>
                <w:rFonts w:hint="eastAsia" w:ascii="仿宋" w:hAnsi="仿宋" w:eastAsia="仿宋" w:cs="仿宋"/>
                <w:b w:val="0"/>
                <w:bCs w:val="0"/>
                <w:color w:val="000000" w:themeColor="text1"/>
                <w:sz w:val="28"/>
                <w:szCs w:val="28"/>
                <w14:textFill>
                  <w14:solidFill>
                    <w14:schemeClr w14:val="tx1"/>
                  </w14:solidFill>
                </w14:textFill>
              </w:rPr>
              <w:t>已备案的26家外贸企业普遍规模较小，属中小型企业，没有大型骨干企业支撑</w:t>
            </w:r>
            <w:r>
              <w:rPr>
                <w:rFonts w:hint="eastAsia" w:ascii="仿宋" w:hAnsi="仿宋" w:eastAsia="仿宋" w:cs="仿宋"/>
                <w:b w:val="0"/>
                <w:bCs w:val="0"/>
                <w:color w:val="000000" w:themeColor="text1"/>
                <w:sz w:val="28"/>
                <w:szCs w:val="28"/>
                <w:lang w:eastAsia="zh-CN"/>
                <w14:textFill>
                  <w14:solidFill>
                    <w14:schemeClr w14:val="tx1"/>
                  </w14:solidFill>
                </w14:textFill>
              </w:rPr>
              <w:t>；</w:t>
            </w:r>
            <w:r>
              <w:rPr>
                <w:rFonts w:hint="eastAsia" w:ascii="仿宋" w:hAnsi="仿宋" w:eastAsia="仿宋" w:cs="仿宋"/>
                <w:b w:val="0"/>
                <w:bCs w:val="0"/>
                <w:color w:val="000000" w:themeColor="text1"/>
                <w:sz w:val="28"/>
                <w:szCs w:val="28"/>
                <w14:textFill>
                  <w14:solidFill>
                    <w14:schemeClr w14:val="tx1"/>
                  </w14:solidFill>
                </w14:textFill>
              </w:rPr>
              <w:t>企业出口产品单一</w:t>
            </w:r>
            <w:r>
              <w:rPr>
                <w:rFonts w:hint="eastAsia" w:ascii="仿宋" w:hAnsi="仿宋" w:eastAsia="仿宋" w:cs="仿宋"/>
                <w:b w:val="0"/>
                <w:bCs w:val="0"/>
                <w:color w:val="000000" w:themeColor="text1"/>
                <w:sz w:val="28"/>
                <w:szCs w:val="28"/>
                <w:lang w:eastAsia="zh-CN"/>
                <w14:textFill>
                  <w14:solidFill>
                    <w14:schemeClr w14:val="tx1"/>
                  </w14:solidFill>
                </w14:textFill>
              </w:rPr>
              <w:t>，</w:t>
            </w:r>
            <w:r>
              <w:rPr>
                <w:rFonts w:hint="eastAsia" w:ascii="仿宋" w:hAnsi="仿宋" w:eastAsia="仿宋" w:cs="仿宋"/>
                <w:b w:val="0"/>
                <w:bCs w:val="0"/>
                <w:color w:val="000000" w:themeColor="text1"/>
                <w:sz w:val="28"/>
                <w:szCs w:val="28"/>
                <w14:textFill>
                  <w14:solidFill>
                    <w14:schemeClr w14:val="tx1"/>
                  </w14:solidFill>
                </w14:textFill>
              </w:rPr>
              <w:t>高附加值产品少，品牌不强，产品科技含量不高，市场占有份额少，很难进</w:t>
            </w:r>
            <w:r>
              <w:rPr>
                <w:rFonts w:hint="eastAsia" w:ascii="仿宋" w:hAnsi="仿宋" w:eastAsia="仿宋" w:cs="仿宋"/>
                <w:b w:val="0"/>
                <w:bCs w:val="0"/>
                <w:color w:val="000000" w:themeColor="text1"/>
                <w:sz w:val="28"/>
                <w:szCs w:val="28"/>
                <w:lang w:eastAsia="zh-CN"/>
                <w14:textFill>
                  <w14:solidFill>
                    <w14:schemeClr w14:val="tx1"/>
                  </w14:solidFill>
                </w14:textFill>
              </w:rPr>
              <w:t>出</w:t>
            </w:r>
            <w:r>
              <w:rPr>
                <w:rFonts w:hint="eastAsia" w:ascii="仿宋" w:hAnsi="仿宋" w:eastAsia="仿宋" w:cs="仿宋"/>
                <w:b w:val="0"/>
                <w:bCs w:val="0"/>
                <w:color w:val="000000" w:themeColor="text1"/>
                <w:sz w:val="28"/>
                <w:szCs w:val="28"/>
                <w14:textFill>
                  <w14:solidFill>
                    <w14:schemeClr w14:val="tx1"/>
                  </w14:solidFill>
                </w14:textFill>
              </w:rPr>
              <w:t>欧美高端市场</w:t>
            </w:r>
            <w:r>
              <w:rPr>
                <w:rFonts w:hint="eastAsia" w:ascii="仿宋" w:hAnsi="仿宋" w:eastAsia="仿宋" w:cs="仿宋"/>
                <w:b w:val="0"/>
                <w:bCs w:val="0"/>
                <w:color w:val="000000" w:themeColor="text1"/>
                <w:sz w:val="28"/>
                <w:szCs w:val="28"/>
                <w:lang w:eastAsia="zh-CN"/>
                <w14:textFill>
                  <w14:solidFill>
                    <w14:schemeClr w14:val="tx1"/>
                  </w14:solidFill>
                </w14:textFill>
              </w:rPr>
              <w:t>；因疫情影响和贸易摩擦双重影响，</w:t>
            </w:r>
            <w:r>
              <w:rPr>
                <w:rFonts w:hint="eastAsia" w:ascii="仿宋" w:hAnsi="仿宋" w:eastAsia="仿宋" w:cs="仿宋"/>
                <w:b w:val="0"/>
                <w:bCs w:val="0"/>
                <w:color w:val="000000" w:themeColor="text1"/>
                <w:sz w:val="28"/>
                <w:szCs w:val="28"/>
                <w14:textFill>
                  <w14:solidFill>
                    <w14:schemeClr w14:val="tx1"/>
                  </w14:solidFill>
                </w14:textFill>
              </w:rPr>
              <w:t>国际市场疲软，导致我县中小外贸企业订单明显减少，我县外贸企业抗风险能力弱，造成我县外贸企业进出口总额下降。</w:t>
            </w:r>
          </w:p>
          <w:p>
            <w:pPr>
              <w:keepNext w:val="0"/>
              <w:keepLines w:val="0"/>
              <w:pageBreakBefore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（二）农产品品牌难以建立。</w:t>
            </w:r>
          </w:p>
          <w:p>
            <w:pPr>
              <w:keepNext w:val="0"/>
              <w:keepLines w:val="0"/>
              <w:pageBreakBefore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我县</w:t>
            </w:r>
            <w:r>
              <w:rPr>
                <w:rFonts w:hint="eastAsia" w:ascii="仿宋" w:hAnsi="仿宋" w:eastAsia="仿宋" w:cs="仿宋"/>
                <w:b w:val="0"/>
                <w:bCs w:val="0"/>
                <w:color w:val="000000" w:themeColor="text1"/>
                <w:sz w:val="28"/>
                <w:szCs w:val="28"/>
                <w:lang w:eastAsia="zh-CN"/>
                <w14:textFill>
                  <w14:solidFill>
                    <w14:schemeClr w14:val="tx1"/>
                  </w14:solidFill>
                </w14:textFill>
              </w:rPr>
              <w:t>农产品</w:t>
            </w:r>
            <w:r>
              <w:rPr>
                <w:rFonts w:hint="eastAsia" w:ascii="仿宋" w:hAnsi="仿宋" w:eastAsia="仿宋" w:cs="仿宋"/>
                <w:b w:val="0"/>
                <w:bCs w:val="0"/>
                <w:color w:val="000000" w:themeColor="text1"/>
                <w:sz w:val="28"/>
                <w:szCs w:val="28"/>
                <w14:textFill>
                  <w14:solidFill>
                    <w14:schemeClr w14:val="tx1"/>
                  </w14:solidFill>
                </w14:textFill>
              </w:rPr>
              <w:t>产业化程度不高，竞争力不强，农产品上行步伐较慢。一是有龙头，但是规模较小，“龙头”功能不强；二是有品牌，但品牌力度不够，品牌效益不明显；三是有基地，但是缺乏科学的生产规范；四是产品质量认证难度大，产品质量可追溯体系建设严重滞后；五是农村地域广</w:t>
            </w:r>
            <w:r>
              <w:rPr>
                <w:rFonts w:hint="eastAsia" w:ascii="仿宋" w:hAnsi="仿宋" w:eastAsia="仿宋" w:cs="仿宋"/>
                <w:b w:val="0"/>
                <w:bCs w:val="0"/>
                <w:color w:val="000000" w:themeColor="text1"/>
                <w:sz w:val="28"/>
                <w:szCs w:val="28"/>
                <w:lang w:eastAsia="zh-CN"/>
                <w14:textFill>
                  <w14:solidFill>
                    <w14:schemeClr w14:val="tx1"/>
                  </w14:solidFill>
                </w14:textFill>
              </w:rPr>
              <w:t>，</w:t>
            </w:r>
            <w:r>
              <w:rPr>
                <w:rFonts w:hint="eastAsia" w:ascii="仿宋" w:hAnsi="仿宋" w:eastAsia="仿宋" w:cs="仿宋"/>
                <w:b w:val="0"/>
                <w:bCs w:val="0"/>
                <w:color w:val="000000" w:themeColor="text1"/>
                <w:sz w:val="28"/>
                <w:szCs w:val="28"/>
                <w14:textFill>
                  <w14:solidFill>
                    <w14:schemeClr w14:val="tx1"/>
                  </w14:solidFill>
                </w14:textFill>
              </w:rPr>
              <w:t>分布散</w:t>
            </w:r>
            <w:r>
              <w:rPr>
                <w:rFonts w:hint="eastAsia" w:ascii="仿宋" w:hAnsi="仿宋" w:eastAsia="仿宋" w:cs="仿宋"/>
                <w:b w:val="0"/>
                <w:bCs w:val="0"/>
                <w:color w:val="000000" w:themeColor="text1"/>
                <w:sz w:val="28"/>
                <w:szCs w:val="28"/>
                <w:lang w:eastAsia="zh-CN"/>
                <w14:textFill>
                  <w14:solidFill>
                    <w14:schemeClr w14:val="tx1"/>
                  </w14:solidFill>
                </w14:textFill>
              </w:rPr>
              <w:t>，</w:t>
            </w:r>
            <w:r>
              <w:rPr>
                <w:rFonts w:hint="eastAsia" w:ascii="仿宋" w:hAnsi="仿宋" w:eastAsia="仿宋" w:cs="仿宋"/>
                <w:b w:val="0"/>
                <w:bCs w:val="0"/>
                <w:color w:val="000000" w:themeColor="text1"/>
                <w:sz w:val="28"/>
                <w:szCs w:val="28"/>
                <w14:textFill>
                  <w14:solidFill>
                    <w14:schemeClr w14:val="tx1"/>
                  </w14:solidFill>
                </w14:textFill>
              </w:rPr>
              <w:t>物流成本高；六是农产品包装、规格不标准。</w:t>
            </w:r>
          </w:p>
          <w:p>
            <w:pPr>
              <w:pStyle w:val="2"/>
              <w:keepNext w:val="0"/>
              <w:keepLines w:val="0"/>
              <w:pageBreakBefore w:val="0"/>
              <w:widowControl/>
              <w:kinsoku/>
              <w:wordWrap/>
              <w:overflowPunct/>
              <w:topLinePunct w:val="0"/>
              <w:autoSpaceDE/>
              <w:autoSpaceDN/>
              <w:bidi w:val="0"/>
              <w:adjustRightInd/>
              <w:snapToGrid/>
              <w:spacing w:beforeAutospacing="0" w:afterAutospacing="0" w:line="460" w:lineRule="exact"/>
              <w:ind w:firstLine="560" w:firstLineChars="200"/>
              <w:jc w:val="both"/>
              <w:textAlignment w:val="auto"/>
              <w:rPr>
                <w:rFonts w:hint="eastAsia" w:ascii="仿宋" w:hAnsi="仿宋" w:eastAsia="仿宋" w:cs="仿宋"/>
                <w:b w:val="0"/>
                <w:bCs w:val="0"/>
                <w:color w:val="000000" w:themeColor="text1"/>
                <w:sz w:val="28"/>
                <w:szCs w:val="28"/>
                <w:lang w:eastAsia="zh-CN"/>
                <w14:textFill>
                  <w14:solidFill>
                    <w14:schemeClr w14:val="tx1"/>
                  </w14:solidFill>
                </w14:textFill>
              </w:rPr>
            </w:pPr>
            <w:r>
              <w:rPr>
                <w:rFonts w:hint="eastAsia" w:ascii="仿宋" w:hAnsi="仿宋" w:eastAsia="仿宋" w:cs="仿宋"/>
                <w:b w:val="0"/>
                <w:bCs w:val="0"/>
                <w:color w:val="000000" w:themeColor="text1"/>
                <w:sz w:val="28"/>
                <w:szCs w:val="28"/>
                <w:lang w:eastAsia="zh-CN"/>
                <w14:textFill>
                  <w14:solidFill>
                    <w14:schemeClr w14:val="tx1"/>
                  </w14:solidFill>
                </w14:textFill>
              </w:rPr>
              <w:t>（三）电商扶贫推广困难。</w:t>
            </w:r>
          </w:p>
          <w:p>
            <w:pPr>
              <w:pStyle w:val="2"/>
              <w:keepNext w:val="0"/>
              <w:keepLines w:val="0"/>
              <w:pageBreakBefore w:val="0"/>
              <w:widowControl/>
              <w:kinsoku/>
              <w:wordWrap/>
              <w:overflowPunct/>
              <w:topLinePunct w:val="0"/>
              <w:autoSpaceDE/>
              <w:autoSpaceDN/>
              <w:bidi w:val="0"/>
              <w:adjustRightInd/>
              <w:snapToGrid/>
              <w:spacing w:beforeAutospacing="0" w:afterAutospacing="0" w:line="460" w:lineRule="exact"/>
              <w:ind w:firstLine="560" w:firstLineChars="200"/>
              <w:jc w:val="both"/>
              <w:textAlignment w:val="auto"/>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一是网销农产品推进工作缺乏统筹调度，商务、扶贫、农业、供销社、邮政等部门“单打独斗”，政策、资金、项目以及平台建设未得到有效整合。二是认识存在偏差，调查发现少数乡镇干部认为发展电商是企业的事，存在“多一事不如少一事”现象，对管辖范围内电商企业及电商服务站了解不多。</w:t>
            </w:r>
            <w:r>
              <w:rPr>
                <w:rFonts w:hint="eastAsia" w:ascii="仿宋" w:hAnsi="仿宋" w:eastAsia="仿宋" w:cs="仿宋"/>
                <w:b w:val="0"/>
                <w:bCs w:val="0"/>
                <w:color w:val="000000" w:themeColor="text1"/>
                <w:sz w:val="28"/>
                <w:szCs w:val="28"/>
                <w:lang w:val="en-US" w:eastAsia="zh-CN"/>
                <w14:textFill>
                  <w14:solidFill>
                    <w14:schemeClr w14:val="tx1"/>
                  </w14:solidFill>
                </w14:textFill>
              </w:rPr>
              <w:t>三是物流配送体系不健全，冷链物流覆盖面小，而且快递单价偏高，企业积极性不高，制约了电子商务在农村的普及应用。</w:t>
            </w:r>
            <w:r>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t>物流业发展短板较多。</w:t>
            </w:r>
          </w:p>
          <w:p>
            <w:pPr>
              <w:keepNext w:val="0"/>
              <w:keepLines w:val="0"/>
              <w:pageBreakBefore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val="0"/>
                <w:color w:val="000000" w:themeColor="text1"/>
                <w:kern w:val="0"/>
                <w:sz w:val="28"/>
                <w:szCs w:val="28"/>
                <w:lang w:val="en-US" w:eastAsia="zh-CN" w:bidi="ar"/>
                <w14:textFill>
                  <w14:solidFill>
                    <w14:schemeClr w14:val="tx1"/>
                  </w14:solidFill>
                </w14:textFill>
              </w:rPr>
            </w:pPr>
            <w:r>
              <w:rPr>
                <w:rFonts w:hint="eastAsia" w:ascii="仿宋" w:hAnsi="仿宋" w:eastAsia="仿宋" w:cs="仿宋"/>
                <w:b w:val="0"/>
                <w:bCs w:val="0"/>
                <w:color w:val="000000" w:themeColor="text1"/>
                <w:kern w:val="0"/>
                <w:sz w:val="28"/>
                <w:szCs w:val="28"/>
                <w:lang w:val="en-US" w:eastAsia="zh-CN" w:bidi="ar"/>
                <w14:textFill>
                  <w14:solidFill>
                    <w14:schemeClr w14:val="tx1"/>
                  </w14:solidFill>
                </w14:textFill>
              </w:rPr>
              <w:t>（四）缺乏各类专业性人才。</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val="0"/>
                <w:color w:val="000000" w:themeColor="text1"/>
                <w:kern w:val="0"/>
                <w:sz w:val="28"/>
                <w:szCs w:val="28"/>
                <w14:textFill>
                  <w14:solidFill>
                    <w14:schemeClr w14:val="tx1"/>
                  </w14:solidFill>
                </w14:textFill>
              </w:rPr>
            </w:pPr>
            <w:r>
              <w:rPr>
                <w:rFonts w:hint="eastAsia" w:ascii="仿宋" w:hAnsi="仿宋" w:eastAsia="仿宋" w:cs="仿宋"/>
                <w:b w:val="0"/>
                <w:bCs w:val="0"/>
                <w:color w:val="000000" w:themeColor="text1"/>
                <w:kern w:val="0"/>
                <w:sz w:val="28"/>
                <w:szCs w:val="28"/>
                <w:lang w:eastAsia="zh-CN"/>
                <w14:textFill>
                  <w14:solidFill>
                    <w14:schemeClr w14:val="tx1"/>
                  </w14:solidFill>
                </w14:textFill>
              </w:rPr>
              <w:t>一是</w:t>
            </w:r>
            <w:r>
              <w:rPr>
                <w:rFonts w:hint="eastAsia" w:ascii="仿宋" w:hAnsi="仿宋" w:eastAsia="仿宋" w:cs="仿宋"/>
                <w:b w:val="0"/>
                <w:bCs w:val="0"/>
                <w:color w:val="000000" w:themeColor="text1"/>
                <w:sz w:val="28"/>
                <w:szCs w:val="28"/>
                <w:lang w:eastAsia="zh-CN"/>
                <w14:textFill>
                  <w14:solidFill>
                    <w14:schemeClr w14:val="tx1"/>
                  </w14:solidFill>
                </w14:textFill>
              </w:rPr>
              <w:t>外贸人才短缺，我县外贸企业规模小，难以引进高素质外贸专业人才，部分企业外贸人才没有得到系统的培训，专业知识更新不快，严重制约了我县外贸企业的发展；二是</w:t>
            </w:r>
            <w:r>
              <w:rPr>
                <w:rFonts w:hint="eastAsia" w:ascii="仿宋" w:hAnsi="仿宋" w:eastAsia="仿宋" w:cs="仿宋"/>
                <w:b w:val="0"/>
                <w:bCs w:val="0"/>
                <w:color w:val="000000" w:themeColor="text1"/>
                <w:kern w:val="0"/>
                <w:sz w:val="28"/>
                <w:szCs w:val="28"/>
                <w14:textFill>
                  <w14:solidFill>
                    <w14:schemeClr w14:val="tx1"/>
                  </w14:solidFill>
                </w14:textFill>
              </w:rPr>
              <w:t>网销人才</w:t>
            </w:r>
            <w:r>
              <w:rPr>
                <w:rFonts w:hint="eastAsia" w:ascii="仿宋" w:hAnsi="仿宋" w:eastAsia="仿宋" w:cs="仿宋"/>
                <w:b w:val="0"/>
                <w:bCs w:val="0"/>
                <w:color w:val="000000" w:themeColor="text1"/>
                <w:kern w:val="0"/>
                <w:sz w:val="28"/>
                <w:szCs w:val="28"/>
                <w:lang w:eastAsia="zh-CN"/>
                <w14:textFill>
                  <w14:solidFill>
                    <w14:schemeClr w14:val="tx1"/>
                  </w14:solidFill>
                </w14:textFill>
              </w:rPr>
              <w:t>短缺，</w:t>
            </w:r>
            <w:r>
              <w:rPr>
                <w:rFonts w:hint="eastAsia" w:ascii="仿宋" w:hAnsi="仿宋" w:eastAsia="仿宋" w:cs="仿宋"/>
                <w:b w:val="0"/>
                <w:bCs w:val="0"/>
                <w:color w:val="000000" w:themeColor="text1"/>
                <w:kern w:val="0"/>
                <w:sz w:val="28"/>
                <w:szCs w:val="28"/>
                <w14:textFill>
                  <w14:solidFill>
                    <w14:schemeClr w14:val="tx1"/>
                  </w14:solidFill>
                </w14:textFill>
              </w:rPr>
              <w:t>我县电商从业人员多数都是传统企业人员转</w:t>
            </w:r>
            <w:r>
              <w:rPr>
                <w:rFonts w:hint="eastAsia" w:ascii="仿宋" w:hAnsi="仿宋" w:eastAsia="仿宋" w:cs="仿宋"/>
                <w:b w:val="0"/>
                <w:bCs w:val="0"/>
                <w:color w:val="000000" w:themeColor="text1"/>
                <w:kern w:val="0"/>
                <w:sz w:val="28"/>
                <w:szCs w:val="28"/>
                <w:lang w:eastAsia="zh-CN"/>
                <w14:textFill>
                  <w14:solidFill>
                    <w14:schemeClr w14:val="tx1"/>
                  </w14:solidFill>
                </w14:textFill>
              </w:rPr>
              <w:t>型</w:t>
            </w:r>
            <w:r>
              <w:rPr>
                <w:rFonts w:hint="eastAsia" w:ascii="仿宋" w:hAnsi="仿宋" w:eastAsia="仿宋" w:cs="仿宋"/>
                <w:b w:val="0"/>
                <w:bCs w:val="0"/>
                <w:color w:val="000000" w:themeColor="text1"/>
                <w:kern w:val="0"/>
                <w:sz w:val="28"/>
                <w:szCs w:val="28"/>
                <w14:textFill>
                  <w14:solidFill>
                    <w14:schemeClr w14:val="tx1"/>
                  </w14:solidFill>
                </w14:textFill>
              </w:rPr>
              <w:t>，网络营销人才严重缺乏，影响了电商产业快速发展，制约了农产品的上行。</w:t>
            </w:r>
          </w:p>
          <w:p>
            <w:pPr>
              <w:keepNext w:val="0"/>
              <w:keepLines w:val="0"/>
              <w:pageBreakBefore w:val="0"/>
              <w:widowControl/>
              <w:kinsoku/>
              <w:wordWrap/>
              <w:overflowPunct/>
              <w:topLinePunct w:val="0"/>
              <w:autoSpaceDE/>
              <w:bidi w:val="0"/>
              <w:adjustRightInd/>
              <w:snapToGrid/>
              <w:spacing w:line="460" w:lineRule="exact"/>
              <w:ind w:firstLine="560" w:firstLineChars="200"/>
              <w:outlineLvl w:val="9"/>
              <w:rPr>
                <w:rFonts w:hint="eastAsia" w:ascii="黑体" w:hAnsi="黑体" w:eastAsia="黑体" w:cs="黑体"/>
                <w:bCs/>
                <w:color w:val="000000" w:themeColor="text1"/>
                <w:sz w:val="28"/>
                <w:szCs w:val="28"/>
                <w14:textFill>
                  <w14:solidFill>
                    <w14:schemeClr w14:val="tx1"/>
                  </w14:solidFill>
                </w14:textFill>
              </w:rPr>
            </w:pPr>
            <w:r>
              <w:rPr>
                <w:rFonts w:hint="eastAsia" w:ascii="黑体" w:hAnsi="黑体" w:eastAsia="黑体" w:cs="黑体"/>
                <w:bCs/>
                <w:color w:val="000000" w:themeColor="text1"/>
                <w:sz w:val="28"/>
                <w:szCs w:val="28"/>
                <w14:textFill>
                  <w14:solidFill>
                    <w14:schemeClr w14:val="tx1"/>
                  </w14:solidFill>
                </w14:textFill>
              </w:rPr>
              <w:t>六、改进措施和有关建议</w:t>
            </w:r>
          </w:p>
          <w:p>
            <w:pPr>
              <w:keepNext w:val="0"/>
              <w:keepLines w:val="0"/>
              <w:pageBreakBefore w:val="0"/>
              <w:widowControl/>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eastAsia="zh-CN"/>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1、</w:t>
            </w:r>
            <w:r>
              <w:rPr>
                <w:rFonts w:hint="eastAsia" w:ascii="仿宋" w:hAnsi="仿宋" w:eastAsia="仿宋" w:cs="仿宋"/>
                <w:bCs/>
                <w:color w:val="000000" w:themeColor="text1"/>
                <w:sz w:val="28"/>
                <w:szCs w:val="28"/>
                <w:lang w:val="en-US" w:eastAsia="zh-CN"/>
                <w14:textFill>
                  <w14:solidFill>
                    <w14:schemeClr w14:val="tx1"/>
                  </w14:solidFill>
                </w14:textFill>
              </w:rPr>
              <w:t>加强预算管理，进一步细化预算支出科目，严格按照年初预算控制支出，</w:t>
            </w:r>
            <w:r>
              <w:rPr>
                <w:rFonts w:hint="eastAsia" w:ascii="仿宋" w:hAnsi="仿宋" w:eastAsia="仿宋" w:cs="仿宋"/>
                <w:bCs/>
                <w:color w:val="000000" w:themeColor="text1"/>
                <w:sz w:val="28"/>
                <w:szCs w:val="28"/>
                <w:lang w:eastAsia="zh-CN"/>
                <w14:textFill>
                  <w14:solidFill>
                    <w14:schemeClr w14:val="tx1"/>
                  </w14:solidFill>
                </w14:textFill>
              </w:rPr>
              <w:t>严格控制非生产性支出；</w:t>
            </w:r>
          </w:p>
          <w:p>
            <w:pPr>
              <w:keepNext w:val="0"/>
              <w:keepLines w:val="0"/>
              <w:pageBreakBefore w:val="0"/>
              <w:widowControl/>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2、建议县财政将我局干部职工全部纳入财政预算，增加财政预算拨款；</w:t>
            </w:r>
          </w:p>
          <w:p>
            <w:pPr>
              <w:keepNext w:val="0"/>
              <w:keepLines w:val="0"/>
              <w:pageBreakBefore w:val="0"/>
              <w:widowControl/>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000000" w:themeColor="text1"/>
                <w:sz w:val="28"/>
                <w:szCs w:val="28"/>
                <w:lang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3、</w:t>
            </w:r>
            <w:r>
              <w:rPr>
                <w:rFonts w:hint="eastAsia" w:ascii="仿宋" w:hAnsi="仿宋" w:eastAsia="仿宋" w:cs="仿宋"/>
                <w:bCs/>
                <w:color w:val="000000" w:themeColor="text1"/>
                <w:sz w:val="28"/>
                <w:szCs w:val="28"/>
                <w14:textFill>
                  <w14:solidFill>
                    <w14:schemeClr w14:val="tx1"/>
                  </w14:solidFill>
                </w14:textFill>
              </w:rPr>
              <w:t>加强对粮食工作的领导，按照粮食</w:t>
            </w:r>
            <w:r>
              <w:rPr>
                <w:rFonts w:hint="eastAsia" w:ascii="仿宋" w:hAnsi="仿宋" w:eastAsia="仿宋" w:cs="仿宋"/>
                <w:bCs/>
                <w:color w:val="000000" w:themeColor="text1"/>
                <w:sz w:val="28"/>
                <w:szCs w:val="28"/>
                <w:lang w:eastAsia="zh-CN"/>
                <w14:textFill>
                  <w14:solidFill>
                    <w14:schemeClr w14:val="tx1"/>
                  </w14:solidFill>
                </w14:textFill>
              </w:rPr>
              <w:t>安全</w:t>
            </w:r>
            <w:r>
              <w:rPr>
                <w:rFonts w:hint="eastAsia" w:ascii="仿宋" w:hAnsi="仿宋" w:eastAsia="仿宋" w:cs="仿宋"/>
                <w:bCs/>
                <w:color w:val="000000" w:themeColor="text1"/>
                <w:sz w:val="28"/>
                <w:szCs w:val="28"/>
                <w14:textFill>
                  <w14:solidFill>
                    <w14:schemeClr w14:val="tx1"/>
                  </w14:solidFill>
                </w14:textFill>
              </w:rPr>
              <w:t>省长责任制的要求,强化工作职责，落实工作方案，全面完成粮食收购、储存工作任务</w:t>
            </w:r>
            <w:r>
              <w:rPr>
                <w:rFonts w:hint="eastAsia" w:ascii="仿宋" w:hAnsi="仿宋" w:eastAsia="仿宋" w:cs="仿宋"/>
                <w:bCs/>
                <w:color w:val="000000" w:themeColor="text1"/>
                <w:sz w:val="28"/>
                <w:szCs w:val="28"/>
                <w:lang w:eastAsia="zh-CN"/>
                <w14:textFill>
                  <w14:solidFill>
                    <w14:schemeClr w14:val="tx1"/>
                  </w14:solidFill>
                </w14:textFill>
              </w:rPr>
              <w:t>。</w:t>
            </w:r>
          </w:p>
          <w:p>
            <w:pPr>
              <w:keepNext w:val="0"/>
              <w:keepLines w:val="0"/>
              <w:pageBreakBefore w:val="0"/>
              <w:widowControl/>
              <w:kinsoku/>
              <w:wordWrap/>
              <w:overflowPunct/>
              <w:topLinePunct w:val="0"/>
              <w:autoSpaceDE/>
              <w:bidi w:val="0"/>
              <w:adjustRightInd/>
              <w:snapToGrid/>
              <w:spacing w:line="460" w:lineRule="exact"/>
              <w:ind w:firstLine="560" w:firstLineChars="200"/>
              <w:outlineLvl w:val="9"/>
              <w:rPr>
                <w:rFonts w:hint="eastAsia" w:ascii="仿宋" w:hAnsi="仿宋" w:eastAsia="仿宋" w:cs="仿宋"/>
                <w:bCs/>
                <w:color w:val="FF0000"/>
                <w:sz w:val="28"/>
                <w:szCs w:val="28"/>
                <w:lang w:val="en-US" w:eastAsia="zh-CN"/>
              </w:rPr>
            </w:pPr>
            <w:r>
              <w:rPr>
                <w:rFonts w:hint="eastAsia" w:ascii="仿宋" w:hAnsi="仿宋" w:eastAsia="仿宋" w:cs="仿宋"/>
                <w:bCs/>
                <w:color w:val="FF0000"/>
                <w:sz w:val="28"/>
                <w:szCs w:val="28"/>
                <w:lang w:val="en-US" w:eastAsia="zh-CN"/>
              </w:rPr>
              <w:t xml:space="preserve">                                               </w:t>
            </w:r>
          </w:p>
          <w:p>
            <w:pPr>
              <w:keepNext w:val="0"/>
              <w:keepLines w:val="0"/>
              <w:pageBreakBefore w:val="0"/>
              <w:widowControl/>
              <w:kinsoku/>
              <w:wordWrap/>
              <w:overflowPunct/>
              <w:topLinePunct w:val="0"/>
              <w:autoSpaceDE/>
              <w:bidi w:val="0"/>
              <w:adjustRightInd/>
              <w:snapToGrid/>
              <w:spacing w:line="460" w:lineRule="exact"/>
              <w:rPr>
                <w:rFonts w:hint="eastAsia" w:ascii="仿宋" w:hAnsi="仿宋" w:eastAsia="仿宋" w:cs="仿宋"/>
                <w:bCs/>
                <w:sz w:val="28"/>
                <w:szCs w:val="28"/>
                <w:lang w:val="en-US" w:eastAsia="zh-CN"/>
              </w:rPr>
            </w:pPr>
          </w:p>
          <w:p>
            <w:pPr>
              <w:keepNext w:val="0"/>
              <w:keepLines w:val="0"/>
              <w:pageBreakBefore w:val="0"/>
              <w:kinsoku/>
              <w:wordWrap/>
              <w:overflowPunct/>
              <w:topLinePunct w:val="0"/>
              <w:autoSpaceDE/>
              <w:bidi w:val="0"/>
              <w:adjustRightInd/>
              <w:snapToGrid/>
              <w:spacing w:line="460" w:lineRule="exact"/>
              <w:rPr>
                <w:rFonts w:eastAsia="楷体_GB2312"/>
                <w:bCs/>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1AEC95"/>
    <w:multiLevelType w:val="singleLevel"/>
    <w:tmpl w:val="8A1AEC95"/>
    <w:lvl w:ilvl="0" w:tentative="0">
      <w:start w:val="4"/>
      <w:numFmt w:val="chineseCounting"/>
      <w:suff w:val="nothing"/>
      <w:lvlText w:val="%1、"/>
      <w:lvlJc w:val="left"/>
      <w:rPr>
        <w:rFonts w:hint="eastAsia"/>
      </w:rPr>
    </w:lvl>
  </w:abstractNum>
  <w:abstractNum w:abstractNumId="1">
    <w:nsid w:val="CD2E28B9"/>
    <w:multiLevelType w:val="singleLevel"/>
    <w:tmpl w:val="CD2E28B9"/>
    <w:lvl w:ilvl="0" w:tentative="0">
      <w:start w:val="1"/>
      <w:numFmt w:val="decimal"/>
      <w:suff w:val="nothing"/>
      <w:lvlText w:val="%1、"/>
      <w:lvlJc w:val="left"/>
    </w:lvl>
  </w:abstractNum>
  <w:abstractNum w:abstractNumId="2">
    <w:nsid w:val="1EE29451"/>
    <w:multiLevelType w:val="singleLevel"/>
    <w:tmpl w:val="1EE29451"/>
    <w:lvl w:ilvl="0" w:tentative="0">
      <w:start w:val="2"/>
      <w:numFmt w:val="chineseCounting"/>
      <w:suff w:val="nothing"/>
      <w:lvlText w:val="（%1）"/>
      <w:lvlJc w:val="left"/>
      <w:rPr>
        <w:rFonts w:hint="eastAsia"/>
      </w:rPr>
    </w:lvl>
  </w:abstractNum>
  <w:abstractNum w:abstractNumId="3">
    <w:nsid w:val="223F4E00"/>
    <w:multiLevelType w:val="singleLevel"/>
    <w:tmpl w:val="223F4E00"/>
    <w:lvl w:ilvl="0" w:tentative="0">
      <w:start w:val="1"/>
      <w:numFmt w:val="decimal"/>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1A313F"/>
    <w:rsid w:val="0A1A313F"/>
    <w:rsid w:val="1B9719D0"/>
    <w:rsid w:val="37874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2021-07-23T07:46:00Z</dcterms:created>
  <dc:creator>Administrator</dc:creator>
  <cp:lastModifiedBy>Administrator</cp:lastModifiedBy>
  <dcterms:modified xsi:type="dcterms:W3CDTF">2022-08-26T08:12:41Z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